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ams_pharmacist_retrospective_eval</w:t>
      </w:r>
    </w:p>
    <w:p>
      <w:r>
        <w:t xml:space="preserve"> </w:t>
      </w:r>
    </w:p>
    <w:p>
      <w:pPr>
        <w:pStyle w:val="Heading2"/>
      </w:pPr>
      <w:r>
        <w:t>Title</w:t>
      </w:r>
    </w:p>
    <w:p>
      <w:r>
        <w:t>Retrospective cohort analysis of a pharmacist-led antimicrobial stewardship program assessing dose appropriateness, antibiotic consumption, surgical prophylaxis compliance, and de-escalation in a tertiary care hospital</w:t>
      </w:r>
    </w:p>
    <w:p>
      <w:r>
        <w:t xml:space="preserve"> </w:t>
      </w:r>
    </w:p>
    <w:p>
      <w:pPr>
        <w:pStyle w:val="Heading2"/>
      </w:pPr>
      <w:r>
        <w:t>Short Hypothesis</w:t>
      </w:r>
    </w:p>
    <w:p>
      <w:r>
        <w:t>Pharmacist-led antimicrobial stewardship review of inpatient antimicrobial orders increases prescriber acceptance and guideline-concordant therapy and reduces antibiotic days of therapy (DOT) per 1,000 patient-days compared with pre-review or unreviewed orders.</w:t>
      </w:r>
    </w:p>
    <w:p>
      <w:r>
        <w:t xml:space="preserve"> </w:t>
      </w:r>
    </w:p>
    <w:p>
      <w:pPr>
        <w:pStyle w:val="Heading2"/>
      </w:pPr>
      <w:r>
        <w:t>Related Work</w:t>
      </w:r>
    </w:p>
    <w:p>
      <w:r>
        <w:t>Prior studies have evaluated antimicrobial stewardship programs (ASPs) using metrics such as prescriber acceptance of interventions, DOT and defined daily dose (DDD) trends, guideline concordance, and clinical outcomes (C. difficile, length of stay). Common analytic approaches include interrupted time series (ITS) for aggregate consumption and mixed-effects models for patient-level outcomes. Limitations in existing work include inconsistent definitions of prescriber acceptance, variable and non-standardized dose-appropriateness rules, weak linkage of pharmacist notes to order changes, limited capture of undocumented or implicit pharmacist actions, sparse use of reproducible NLP or hybrid extraction methods, inadequate adjustment for time-varying confounders (for example rapid diagnostic rollout or formulary changes), insufficient ITS time points or power calculations, and limited microbiology linkage (culture deduplication and breakpoint standardization). Many prior reports lack preregistered statistical analysis plans, versioned decision rules, and publicly reproducible analytic code.</w:t>
      </w:r>
    </w:p>
    <w:p>
      <w:r>
        <w:t xml:space="preserve"> </w:t>
      </w:r>
    </w:p>
    <w:p>
      <w:pPr>
        <w:pStyle w:val="Heading2"/>
      </w:pPr>
      <w:r>
        <w:t>Abstract</w:t>
      </w:r>
    </w:p>
    <w:p>
      <w:r>
        <w:t>We present a retrospective cohort analysis to evaluate the impact of a pharmacist-led antimicrobial stewardship program (ASP) in a tertiary care hospital. Using 12–24 months of adult inpatient antimicrobial orders linked to pharmacy dispensing, medication administration, microbiology results, and pharmacist documentation, we will measure prescriber acceptance, dose appropriateness, antibiotic consumption, surgical prophylaxis compliance, and de-escalation based on culture and sensitivity. The approach combines rule-based dose-appropriateness decision tables (weight and renal rules, TDM targets), hybrid extraction of structured and free-text pharmacist actions using NLP, and rigorous statistical methods: mixed-effects models for patient-level outcomes and segmented ITS with autoregressive terms for aggregate antibiotic use. Main contributions are (1) an explicit, versioned pharmacist-centered decision-rule set for dose appropriateness, (2) validated hybrid methods to capture implicit pharmacist actions, and (3) reproducible analytic pipelines for ITS and patient-level inference. Expected outcomes include quantifiable changes in acceptance rates, DOT/DDD trends, and improved guideline concordance, with clear reproducible methods suitable for replication.</w:t>
      </w:r>
    </w:p>
    <w:p>
      <w:r>
        <w:t xml:space="preserve"> </w:t>
      </w:r>
    </w:p>
    <w:p>
      <w:pPr>
        <w:pStyle w:val="Heading2"/>
      </w:pPr>
      <w:r>
        <w:t>Experiments</w:t>
      </w:r>
    </w:p>
    <w:p>
      <w:r>
        <w:t>Datasets: EHR extracts for adult inpatient encounters over a 12–24 month period including orders (order_datetime, order_modified_datetime), medication administration records (admin_datetime, admin_dose), pharmacy dispensing (dispense_datetime), microbiology (specimen_collection_datetime, result_datetime, organism, MIC/S/I/R), and pharmacist documentation (structured ASP_log, free-text notes). Exclude pediatric and hospice/comfort-care encounters. Link by encounter_id and create de-identified study_id. Sampling: full census if feasible; otherwise stratified random sampling by service×month×ICU status with target n=200–300 charts per major stratum. Baselines: (A) pre-intervention months for ITS, (B) contemporaneous unreviewed orders or matched unreviewed encounters using propensity score weighting for patient-level comparisons. Primary baseline metrics: historical acceptance rate and monthly DOT series. Evaluation metrics: prescriber acceptance rate (explicit documented acceptance OR concordant order change within 72 hours), DOT and DDD per 1,000 patient-days, guideline-concordant therapy at 48 hours, time-to-appropriate-therapy (hours from culture collection), 30-day C. difficile incidence density, 30-day antibiotic-related adverse events, LOS, 30-day readmission and mortality; data-quality metrics: inter-rater reliability Cohen’s kappa for abstraction, NLP precision/recall/F1/PPV/NPV. Statistical models and setup: (1) Patient-level: mixed-effects logistic/linear models with random intercepts for patient nested in unit/provider, covariates (age, sex, comorbidity index, ICU status, infection syndrome, organism), propensity score weighting or stratification for intervention assignment, multiple imputation (MICE, ≥20 imputations) for missing covariates. (2) Aggregate-level: segmented ITS (monthly DOT/DDD per 1,000 patient-days) with autoregressive error structure (start AR(1), select AR(p) by AIC/BIC), seasonality adjustment (monthly indicators or Fourier terms), and time-varying covariates (case-mix index, bed-days, rapid diagnostic rollout, formulary changes). NLP and extraction experiments: hybrid pipeline comparing (a) deterministic rule-based order-change inference, (b) fine-tuned clinical transformer (ClinicalBERT) on free-text, and (c) combined pipeline; training/validation split 80/20; validation on stratified 10–20% manual adjudication sample. Ablations: (i) vancomycin AUC method comparison — Bayesian posterior AUC (specify package/version at SAP) versus equation-based AUC24 approximation; (ii) acceptance window sensitivity at 24/48/72 hours; (iii) ITS specifications (AR terms, seasonality choices); (iv) NLP-only versus rule-only performance. Significance and reporting: pre-specify primary outcome family and apply Benjamini-Hochberg correction for secondary outcomes; report effect estimates with 95% confidence intervals and model diagnostics (residuals, VIF, balance SMD&lt;0.1 for propensity).</w:t>
      </w:r>
    </w:p>
    <w:p>
      <w:r>
        <w:t xml:space="preserve"> </w:t>
      </w:r>
    </w:p>
    <w:p>
      <w:pPr>
        <w:pStyle w:val="Heading2"/>
      </w:pPr>
      <w:r>
        <w:t>Risk Factors And Limitations</w:t>
      </w:r>
    </w:p>
    <w:p>
      <w:r>
        <w:t>Misclassification risk: incomplete or inconsistent pharmacist documentation and missing MAR timestamps may cause false negatives or positives for acceptance. NLP failure modes: low precision or recall for free-text labels, especially for rare recommendation types. Missing data and bias: key variables (weight, creatinine, severity scores) may be missing or outdated; multiple imputation assumes missing at random which may not hold. Confounding and concurrent interventions: rapid diagnostic rollout, formulary changes, or infection-control events can bias ITS and patient-level estimates. Power and ITS limits: fewer than 12 pre- or post-intervention monthly points will reduce ITS validity; small strata sample sizes limit subgroup inference. Special populations: patients on renal replacement therapy, ECMO, pregnancy, or extreme obesity introduce edge-case dosing rules and may be underrepresented. Microbiology linkage limits: imperfect culture deduplication, breakpoint versioning (CLSI vs EUCAST differences), and polymicrobial cultures complicate 'appropriate therapy' classification. Generalizability: findings from a single tertiary care EHR and local stewardship practice may not apply elsewhere. Compute and reproducibility constraints: transformer fine-tuning requires GPU resources and may limit model iteration; delays in IRB/DUA approvals can limit data access and public code release.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