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human_utricle_ototoxic_transcriptome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Single-cell and bulk transcriptomic mapping of the adult human utricle to characterize early transcriptional responses to aminoglycoside-induced ototoxic damage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Aminoglycoside exposure triggers a reproducible early transcriptional program in adult human utricle hair cells and supporting cells—featuring immediate-early genes and oxidative-stress responses—detectable at 6–24 hours and predictive of subsequent synaptic dysfunction.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Single-cell and single-nucleus RNA sequencing (scRNA-seq/snRNA-seq) and bulk RNA-seq have been widely used to map inner-ear cell types in model organisms and developing tissue. Spatial transcriptomics and targeted RNA-FISH have supplemented molecular atlases with location information. Prior ototoxicity studies in animals identified immediate-early gene activation, oxidative stress, and synapse loss after aminoglycoside exposure. Limitations remain: most datasets are from non-adult or non-human samples, sample sizes are small for robust donor-level inference, ambient RNA and dissociation bias reduce reliable detection of fragile hair cells, spatial validation is often limited, and cross-species translation (mouse→human) is incomplete. Existing analyses frequently lack preregistered pseudobulk mixed models, explicit early-responder definitions, and harmonized remediation rules for batch confounding, limiting reproducibility and direct translational prioritization.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Balance disorders from utricle damage lack human-derived molecular maps to guide regeneration. We will generate a cellular and transcriptional atlas of the adult human utricle and define early transcriptional changes after aminoglycoside (gentamicin) exposure. Using patient-derived samples we will collect matched scRNA-seq or snRNA-seq, donor-level bulk RNA-seq, and spatial data (Visium and RNAscope/MERFISH) across untreated, 6 h, 24 h, and 72 h timepoints. Computational analysis will apply donor-aware pseudobulk mixed models to call early responders and map them spatially to hair cells and supporting-cell subtypes. Main contributions are: (1) a reproducible multi-modal dataset of adult human utricle responses to ototoxin, (2) a pre-registered statistical pipeline with clear early-responder rules, and (3) integrated spatial and functional validation of prioritized genes. Expected outcomes include validated candidate pathways involved in early synaptopathy and supporting-cell activation that can be prioritized for functional follow-up and regenerative strategy design.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fresh adult human utricle explants from a minimum of 6 donors per timepoint (untreated/vehicle, 6 h, 24 h, 72 h), target 8–10 donors/timepoint where feasible; per-donor scRNA-seq or snRNA-seq capturing 2,000–5,000 high-quality cells/nuclei with enriched targets of 300–700 hair cells and 500–1,000 supporting cells; donor-level bulk RNA-seq (paired) and spatial Visium (50M reads/area) plus RNAscope HiPlex or MERFISH on matched sections. Baselines: within-donor untreated/time-zero and vehicle controls. Wet-lab: dissociation SOPs (Liberase TM 25 µg/mL + DNase I 100 U/mL, 15 min at 37°C; papain alternative), nuclei isolation for low-RIN/long-PMI samples. Functional readouts: automated CtBP2 synaptic ribbon counts, Myo7a/POU4F3 hair-cell counts, calcium imaging (Fluo-4 AM), ROS (DHE), cleaved-CASP3 apoptosis. Computational pipeline: preprocessing with doublet filtering (Scrublet/DoubletFinder), SCTransform normalization, ambient-RNA correction with SoupX (contaminationFraction cap 0.15–0.20), donor-aware integration (Harmony/fastMNN), pseudobulk per cell-type per donor; DE testing using limma-voom with duplicateCorrelation to model donor random intercepts (design matrix: ~0 + timepoint + treatment + age + PMI; use voom weights; contrasts: untreated vs 6h, untreated vs 24h, untreated vs 72h) and FDR control by Benjamini–Hochberg. Spatial mapping: cell2location and Tangram for deconvolution (compare methods), require RMS registration error &lt;2 µm for single-cell mapping. Evaluation metrics: gene-level FDR &lt;0.05 and |log2FC| ≥0.5 for early responders; directionality concordant in ≥80% of donors; power curves (detectable log2FC vs donor count) and per-cell-type recovery rates; spatial validation: RNAscope positive-call = ≥3 puncta per cell and SNR ≥3 in ≥3 donors. Baselines/Comparisons: (A) scRNA-seq vs snRNA-seq modality comparison for hair-cell recovery and DE concordance; (B) limma-voom pseudobulk vs DESeq2 pseudobulk on pilot data; (C) ambient correction ablation: with SoupX vs without; (D) spatial deconvolution ablation: cell2location vs Tangram vs stereoscope. Ablation study: collapse 6 h+24 h into a combined early group to test sensitivity to donor scarcity. Reproducibility checks: leave-one-donor-out DE, 1,000 permutations, and replication requirement across pseudobulk and single-cell enrichment. Baseline functional validation: test top 10 prioritized genes with small-molecule modulation or siRNA in explant or mouse-model assays and measure synaptic ribbon counts and calcium responsiveness.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Tissue availability: adult human utricle tissue is scarce; donor attrition will reduce power and may force timepoint collapsing. Low hair-cell capture: fragile hair cells may be lost during dissociation, biasing results toward supporting cells. Ambient RNA and doublets: high ambient RNA can mask true signals and aggressive correction can remove markers. Batch confounding: library-prep or lane effects correlated with timepoint may remain despite remediation and limit biological inference. Modality limits: snRNA-seq captures nuclear transcripts and may miss cytoplasmic mRNAs; spatial spot resolution (Visium) may not resolve single small hair cells. Cross-species translation: mouse-to-human orthology and paralog mapping can be ambiguous, reducing confidence in conserved targets. Functional assay limits: high-resolution electrophysiology on human explants is low-throughput and technically challenging; results may not generalize in vivo. Ethical and governance constraints: consent limitations or controlled-access restrictions may delay data sharing. Computational assumptions: pseudobulk mixed models assume sufficient per-donor cell counts; low-count cell-types (&lt;50 cells/donor) reduce DE reliability. Scalability: deep sequencing and multiome assays are costly and may limit sample numbers.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