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vur_breakthrough_risk_model</w:t>
      </w:r>
    </w:p>
    <w:p>
      <w:r>
        <w:t xml:space="preserve"> </w:t>
      </w:r>
    </w:p>
    <w:p>
      <w:pPr>
        <w:pStyle w:val="Heading2"/>
      </w:pPr>
      <w:r>
        <w:t>Title</w:t>
      </w:r>
    </w:p>
    <w:p>
      <w:r>
        <w:t>Elastic-net penalized time-to-event modeling to identify clinical and microbiologic predictors of breakthrough urinary tract infection in children with primary vesicoureteral reflux</w:t>
      </w:r>
    </w:p>
    <w:p>
      <w:r>
        <w:t xml:space="preserve"> </w:t>
      </w:r>
    </w:p>
    <w:p>
      <w:pPr>
        <w:pStyle w:val="Heading2"/>
      </w:pPr>
      <w:r>
        <w:t>Short Hypothesis</w:t>
      </w:r>
    </w:p>
    <w:p>
      <w:r>
        <w:t>In children with primary vesicoureteral reflux receiving antibiotic prophylaxis, higher VUR grade, bilateral VUR, baseline renal scarring, worse bladder–bowel dysfunction (BBD) score, poor prophylaxis adherence, and non-E.coli or resistant index pathogens cause an increased hazard of breakthrough urinary tract infection after diagnostic VCUG.</w:t>
      </w:r>
    </w:p>
    <w:p>
      <w:r>
        <w:t xml:space="preserve"> </w:t>
      </w:r>
    </w:p>
    <w:p>
      <w:pPr>
        <w:pStyle w:val="Heading2"/>
      </w:pPr>
      <w:r>
        <w:t>Related Work</w:t>
      </w:r>
    </w:p>
    <w:p>
      <w:r>
        <w:t>Previous studies associating clinical features (VUR grade, laterality, DMSA scarring, BBD) and microbiology (pathogen identity, resistance) with breakthrough UTI have used single-center cohorts, simple univariate analyses, or standard Cox regression without robust handling of time-varying prophylaxis/adherence. Limitations in prior work include: small sample sizes with few events, inconsistent microbiologic thresholds and specimen-method documentation, lack of harmonized imaging reads, failure to model adherence as a time-varying exposure, limited use of penalized multivariable methods that reduce overfitting, poor internal validation, and scarce pathogen genomic data. Recent work emphasizes personalized risk stratification but often omits causal methods for time-dependent confounding and lacks centralized lab/WGS data, limiting reproducibility and transportability.</w:t>
      </w:r>
    </w:p>
    <w:p>
      <w:r>
        <w:t xml:space="preserve"> </w:t>
      </w:r>
    </w:p>
    <w:p>
      <w:pPr>
        <w:pStyle w:val="Heading2"/>
      </w:pPr>
      <w:r>
        <w:t>Abstract</w:t>
      </w:r>
    </w:p>
    <w:p>
      <w:r>
        <w:t>We address prediction and causal estimation of risk factors for breakthrough urinary tract infection (B-UTI) in children with primary vesicoureteral reflux (VUR) who receive antibiotic prophylaxis. Using a multicenter retrospective cohort mapped to a common data model, we will anchor follow-up at the diagnostic voiding cystourethrogram (VCUG) date and apply an elastic-net penalized time-to-event model to identify independent predictors of time-to-first B-UTI. Adherence and prophylaxis exposures will be modeled as time-varying covariates and causal effects estimated via marginal structural models with stabilized inverse-probability weights. Imaging (VCUG, DMSA) and harmonized microbiology (local AST, prioritized central whole-genome sequencing) augment predictors. Primary contributions are: a pre-specified, reproducible analysis pipeline that combines penalized prediction, time-varying causal inference, and centralized microbiology; and an internally validated risk score with calibration and decision-curve evaluation. Expected outcomes include a validated risk model to inform personalized management and a documented protocol for prospective implementation and external validation.</w:t>
      </w:r>
    </w:p>
    <w:p>
      <w:r>
        <w:t xml:space="preserve"> </w:t>
      </w:r>
    </w:p>
    <w:p>
      <w:pPr>
        <w:pStyle w:val="Heading2"/>
      </w:pPr>
      <w:r>
        <w:t>Experiments</w:t>
      </w:r>
    </w:p>
    <w:p>
      <w:r>
        <w:t>Datasets: Retrospective electronic health records and lab data from participating pediatric centers, ETL-mapped to OMOP CDM; sample-size target 900–1,100 children to obtain ≈150 first B-UTI events within 2 years. Inclusion: primary VUR documented on VCUG (index date = VCUG date). Primary outcome: time-to-first adjudicated B-UTI after index (age/method-specific culture thresholds required; 14-day symptom/antibiotic-free separation). Secondary outcomes: recurrent B-UTI episodes, pathogen-resistant B-UTI. Primary analysis model: elastic-net penalized cause-specific Cox proportional hazards model (elastic net balances L1/L2 penalties; tune alpha=0.5 with 10-fold cross-validation; select lambda via 1-SE rule). Time origin and handling: time-zero = diagnostic VCUG; events between VCUG and prophylaxis start will be included and annotated; prophylaxis and adherence represented as time-varying covariates. Primary causal method for time-varying exposure: marginal structural Cox model with stabilized inverse-probability-of-treatment weights (MSM) to estimate effect of prophylaxis/adherence; diagnostics include weight distribution, mean/stdev, truncation at 1st/99th percentiles, and positivity checks. Secondary models: (1) Andersen-Gill recurrent-event model (counts all events; robust SEs), (2) Prentice-Williams-Peterson (PWP) gap-time model (conditional on prior event), (3) unpenalized Cox with backward selection, (4) random survival forest (machine-learning baseline). Baselines: univariable Cox, unpenalized multivariable Cox, and clinical risk score based on VUR grade + scarring. Predictor set: locked 12 variables (VUR grade dichotomized I–II vs III–V; laterality bilateral vs unilateral; baseline DMSA scarring present/absent; continuous standardized BBD score; continuous age at diagnosis; sex + male circumcision status; prior febrile UTI count; baseline age-adjusted eGFR; time-varying prophylaxis exposure and adherence; index pathogen E.coli vs non-E.coli/resistant; recent antibiotics prior 3 months; socioeconomic disadvantage composite). Continuous modeling: test linearity and model nonlinearity with restricted cubic splines (3 knots) if needed. Adherence: primary metric pharmacy-based PDC (proportion of days covered) with good adherence PDC ≥80%; also model as continuous. Missing data: multiple imputation by chained equations including outcomes and site indicators with m = max(30, percent_missing); imputation combined with modeling according to Rubin's rules; perform MNAR sensitivity via delta-adjustment scenarios (see ablation). Validation and reporting: hyperparameter tuning via nested 10-fold CV for penalized model selection; internal validation via 200 bootstrap resamples to estimate optimism and produce shrinkage-adjusted coefficients and optimism-corrected time-dependent C-index; report time-dependent C-index at 1 and 2 years, integrated Brier score, calibration slope/intercept and calibration plots, decision-curve analysis. Ablation and sensitivity studies: (A) remove adherence/time-varying exposure to quantify its contribution, (B) exclude microbiology variables (pathogen/resistance/WGS) to assess gain from pathogen data, (C) alternate time-zero sensitivity (prophylaxis start as index), (D) alternative penalization alphas (0.1 and 0.9) to test robustness, (E) MSM vs lagged time-dependent Cox to compare causal estimates, (F) imputation + bootstrap nested procedure to assess interaction of missing-data handling and validation. Microbiology pipeline experiments: compare models using local AST interpretations vs harmonized central-lab breakpoint interpretations (central standard: CLSI) and assess effect of including WGS-derived resistance markers (prioritized isolates) on predictive performance. Pre-specified decision rule: primary result = elastic-net cause-specific Cox (time-to-first event) unless model fails diagnostics (e.g., extreme optimism &gt;0.1 C-index drop after bootstrap), then report Andersen-Gill as co-primary.</w:t>
      </w:r>
    </w:p>
    <w:p>
      <w:r>
        <w:t xml:space="preserve"> </w:t>
      </w:r>
    </w:p>
    <w:p>
      <w:pPr>
        <w:pStyle w:val="Heading2"/>
      </w:pPr>
      <w:r>
        <w:t>Risk Factors And Limitations</w:t>
      </w:r>
    </w:p>
    <w:p>
      <w:r>
        <w:t>Misclassification: variable urine collection methods, incomplete documentation of collection method, and site differences in culture handling can misclassify events. Microbiology harmonization: AST breakpoints (CLSI vs EUCAST) may differ across sites and cause inconsistent resistance labels; central lab sequencing may be budget-limited, producing selection bias. Adherence measurement error: pharmacy PDC/MPR are proxy measures and may not capture actual ingestion; nested MEMS calibration may be available only for a subset. Time-varying confounding and positivity: MSM requires adequate overlap (positivity); small subgroups or deterministic treatment rules can violate this. Immortal time and left-truncation: events occurring prior to prophylaxis initiation introduce potential immortal-time bias if not handled exactly at time-zero. Sample size and events: fewer than planned B-UTI events will reduce power and increase model instability despite penalization. Missing data and MNAR: important predictors (e.g., BBD score, DMSA) may be missing not at random, biasing estimates. Site heterogeneity: unmeasured site practices (imaging technique, lab methods, follow-up intensity) limit generalizability. Model transportability: retrospective cohort and selected centers may not represent broader populations; risk thresholds may not generalize. Computational limits: complex MSM and bootstrap+imputation workflows require substantial compute; small sites may have sparse data causing convergence issues. Causal interpretation limits: observational data restricts causal claims; residual confounding and measurement error can bias causal effect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