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simultaneous_sulfur_quant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Sensitive LC-MS/MS workflow using sulfur-atom chemical trapping for simultaneous quantification of protein and low-molecular-weight persulfides, polysulfides, and hydrogen sulfide in biological samples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If sulfur atoms from H2S, low-molecular-weight persulfides/polysulfides, and protein persulfides are chemically trapped at collection and then processed with a persulfide-selective reductant prior to LC-MS/MS, then a single-sample workflow will quantify all species simultaneously with persulfide reduction conversion ≥95% and LLOQ signal-to-noise ≥10.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measure H2S, persulfides/polysulfides, and protein persulfidation in separate workflows. Small-molecule H2S assays often use fluorescent or thiol-reactive traps (for example, monobromobimane; mBBr) that are sensitive but can cross-react with free thiols and polysulfides. Protein persulfidation site mapping typically uses differential alkylation strategies and bottom-up proteomics to locate modified cysteines, but these methods require separate sample splits and can introduce artifactual conversion during preparation. LC-MS/MS targeted methods improved sensitivity but frequently lack validated persulfide-selective reductants, comprehensive artifact controls, or matrix-matched calibrators. Unresolved issues are cross-reactivity between traps and thiol blockers, lack of a validated single-sample workflow, insufficient orthogonal corroboration for glutathione-derived persulfides, and limited protocols for converting peptide-level signals into absolute protein site occupancy.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Simultaneous, accurate measurement of hydrogen sulfide (H2S), low-molecular-weight persulfides/polysulfides, and protein persulfidation in the same biological sample remains a technical gap. We propose a single-sample LC-MS/MS workflow that chemically traps sulfur atoms at collection, applies a validated persulfide-selective reductant to convert persulfide moieties to a common detectable form, and uses isotope-labeled internal standards for normalization. The main contribution is an integrated platform combining sealed-vial H2S trapping, differential alkylation for protein sites, and a validated reductant screen to de-risk artifactual interconversion. The workflow includes orthogonal quantification of glutathione-derived persulfides to corroborate small-molecule readouts. Expected outcomes are (1) simultaneous quantification of H2S, persulfides/polysulfides, and protein persulfidation from single samples, (2) validated performance metrics including persulfide conversion ≥95% and LLOQ S/N ≥10, and (3) a reproducible protocol suitable for interlaboratory transfer and biological studies of sulfur redox signaling.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samples: pooled human plasma, cultured cell lysate (e.g., HEK293), tissue homogenate (mouse liver), mitochondrial fraction, and blank buffer. Prepare calibration standards by spiking authentic small-molecule standards (cysteine, GSH, GSSG, Na2S, sodium polysulfide mixtures, synthesized CysSSH and GSSH) into matrix-matched surrogate matrices. Include heavy-isotope internal standards: 13C/15N-labeled peptides and labeled alkylated Cys standards spiked at collection. Baselines: (A) standard mBBr-based H2S assay run separately; (B) conventional differential alkylation proteomics for persulfidation run on a split sample; (C) no-trap/no-reductant negative control. Evaluation metrics: percent persulfide→alkylated thiol conversion, percent change of preblocked thiols, recovery (%), accuracy (measured/nominal, target 80–120%), precision (CV; target ≤20%, ≤15% above LLOQ), LLOQ defined as S/N≥10, matrix suppression after IS normalization (CV ≤15%), inter-site CV ≤20% for QCs. Experimental setup: 1) Reductant screen matrix: test TCEP, DTT, triphenylphosphine (TPP), TPPTS, NaBH4 at concentrations 0.1–10 mM (NaBH4 0.1–2 mM), pH 6.5/7.4/8.5, temps 4°C and 22°C, times 1/5/15/60 min in buffer, plasma, lysate, tissue homogenate. Measure conversion to alkylated thiol by LC-MS/MS. 2) H2S trapping kinetics: sealed 2 mL crimp vials, degassed matrices, immediate alkylation with NEM (~10 mM), headspace injection of mBBr (5–10 mM) at timepoints 0.5/1/5/10/30 min. Also test alternative traps: Zn2+ and Ag+ capture and an alternative alkylator; compare recoveries. 3) Order-of-operations ablation: compare (a) block thiols then trap H2S, (b) trap H2S then block thiols, (c) parallel workflows. Quantify cross-reactivity and artifactual signals. 4) Proteomics workflow: perform on-protein light alkylation (NEM-d0) at collection, apply validated reductant, heavy alkylation (NEM-d5) for persulfide-derived thiols, then digest with trypsin/LysC (E:S 1:50–1:100) and spike heavy alkylated peptides post-digest. Measure missed cleavages, peptide yield, and peptide-level quantitation. 5) LC-MS/MS acquisition: UPLC C18 2.1×100 mm, 1.7 µm; mobile phases water +0.1% FA and ACN +0.1% FA; gradient 2→40% B in 6 min, total 10–12 min. Use triple-quad scheduled MRM, two transitions per analyte, ≥12 points/peak; PRM on high-res instrument for confirmation (±5 ppm). 6) Validation and comparisons: run calibration curves (n≥6 levels), QCs (low/med/high, n≥5), spike-recovery across three matrix lots. Ablation studies: remove internal standard, remove reductant, use alternative trap; compare performance metrics. 7) Interlaboratory pilot: blinded 20-sample panel across two labs using same SOPs; assess inter-site CV and transferability.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Reductant nonselectivity: the chosen reductant may reduce native disulfides or other modifications, causing loss or conversion of intended analytes. Artifactual interconversion: persulfides and polysulfides are labile and may form or degrade during collection, freeze/thaw, or oxygen exposure, biasing results. Trap cross-reactivity: mBBr and other traps can react with free thiols or polysulfides, producing overlapping adducts that complicate MS interpretation. Matrix effects: plasma and tissue contain components that suppress ionization and reduce sensitivity, limiting LLOQ in some matrices. Digestion variability: incomplete or biased proteolysis will affect peptide yield and degrade accuracy of protein site-occupancy calculations. Standard availability: some authentic persulfide standards or heavy alkylated standards may be scarce or require custom synthesis, delaying validation. Instrument sensitivity and throughput: scheduled MRM panels with many closely related species may exceed duty-cycle limits on some instruments, reducing points-per-peak. Generalization limits: performance validated in selected matrices may not transfer to all tissue types or species. Bioinformatics reproducibility: complex isotope-correction and qualifier-ratio rules require validated pipelines; errors or version drift can affect quantitative reproducibility.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