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wechat_eczema_edu_rct</w:t>
      </w:r>
    </w:p>
    <w:p>
      <w:r>
        <w:t xml:space="preserve"> </w:t>
      </w:r>
    </w:p>
    <w:p>
      <w:pPr>
        <w:pStyle w:val="Heading2"/>
      </w:pPr>
      <w:r>
        <w:t>Title</w:t>
      </w:r>
    </w:p>
    <w:p>
      <w:r>
        <w:t>WeChat-based randomized controlled trial of a smartphone caregiver education program to reduce 12-week symptom burden in children aged 0–6 with moderate-to-severe atopic dermatitis</w:t>
      </w:r>
    </w:p>
    <w:p>
      <w:r>
        <w:t xml:space="preserve"> </w:t>
      </w:r>
    </w:p>
    <w:p>
      <w:pPr>
        <w:pStyle w:val="Heading2"/>
      </w:pPr>
      <w:r>
        <w:t>Short Hypothesis</w:t>
      </w:r>
    </w:p>
    <w:p>
      <w:r>
        <w:t>Assignment of caregivers to a WeChat-delivered smartphone education program plus a dynamic electronic action plan causes a greater reduction in caregiver-reported POEM score at 12 weeks compared with assignment to conventional outpatient consultation.</w:t>
      </w:r>
    </w:p>
    <w:p>
      <w:r>
        <w:t xml:space="preserve"> </w:t>
      </w:r>
    </w:p>
    <w:p>
      <w:pPr>
        <w:pStyle w:val="Heading2"/>
      </w:pPr>
      <w:r>
        <w:t>Related Work</w:t>
      </w:r>
    </w:p>
    <w:p>
      <w:r>
        <w:t>Existing approaches include in-person caregiver education delivered in clinics, brief printed or video materials, and small-scale digital interventions (web or app) aimed at improving adherence and symptom control in pediatric atopic dermatitis. Many prior studies rely on single-center or nonrandomized designs, short follow-up windows, and small samples. Outcome measurement often depends on unblinded caregiver reports without centralized blinded adjudication, increasing risk of bias. Behavior-change elements (goal-setting, tailored messaging) are inconsistently applied and rarely measured as mediators of effect. Objective adherence measures (e.g., canister weight, refill records) are uncommon. Few trials specify robust missing-data sensitivity analyses, site-clustering adjustments, or prespecified mediation and equity analyses. Digital trials often underrepresent lower-SES families and non-dominant language speakers, limiting generalization. In sum, limitations are small scale, measurement bias, weak behavioral components, lack of objective adherence data, limited diversity, and insufficient preplanned statistical safeguards (e.g., ICC handling, blinded re-estimation).</w:t>
      </w:r>
    </w:p>
    <w:p>
      <w:r>
        <w:t xml:space="preserve"> </w:t>
      </w:r>
    </w:p>
    <w:p>
      <w:pPr>
        <w:pStyle w:val="Heading2"/>
      </w:pPr>
      <w:r>
        <w:t>Abstract</w:t>
      </w:r>
    </w:p>
    <w:p>
      <w:r>
        <w:t>Problem: Childhood atopic dermatitis causes frequent relapses and caregiver burden; scalable caregiver education may reduce symptoms but evidence from rigorous multicenter trials is limited. Approach: Conduct a multicenter randomized parallel-controlled trial comparing a WeChat-based smartphone education program (multimedia modules + dynamic electronic action plan) versus conventional outpatient consultation for caregivers of children aged 0–6 with moderate-to-severe atopic dermatitis. Main contribution: Provide randomized evidence on whether a scalable digital caregiver intervention reduces symptom burden, using a single primary endpoint (change in POEM at 12 weeks), centralized blinded adjudication of objective signs, prespecified mediation analyses (adherence and steroid beliefs), and equity-focused subgroup assessments. Expected outcome: Demonstrate whether the digital program produces a clinically meaningful reduction in POEM at 12 weeks (MCID ≥3 points), clarifies mechanisms linking engagement to outcome, and provides evidence on durability up to 52 weeks and preliminary cost-effectiveness. Impact: Inform clinical practice and implementation of smartphone-based caregiver education for pediatric eczema.</w:t>
      </w:r>
    </w:p>
    <w:p>
      <w:r>
        <w:t xml:space="preserve"> </w:t>
      </w:r>
    </w:p>
    <w:p>
      <w:pPr>
        <w:pStyle w:val="Heading2"/>
      </w:pPr>
      <w:r>
        <w:t>Experiments</w:t>
      </w:r>
    </w:p>
    <w:p>
      <w:r>
        <w:t>Participants and sample: multicenter enrollment of children aged 0–6 years with moderate-to-severe atopic dermatitis (baseline POEM consistent with moderate-to-severe), planned N=180 (≈90 per arm), allowance to re-estimate at 50% enrollment and cap at N=240. Randomization: 1:1 by site and baseline POEM severity, variable permuted blocks; analysis by intention-to-treat (ITT). Interventions: (A) WeChat-delivered multimedia education modules + dynamic electronic action plan; (B) conventional outpatient consultation (standard care). Primary endpoint: absolute change in caregiver-reported POEM from baseline to 12 weeks. Secondary endpoints: proportion achieving POEM MCID≥3, relapse rate at 12 weeks (defined as new flare requiring escalation per protocol or POEM increase ≥4 from nadir), blinded EASI and SCORAD at 12 and 24 weeks (EASI is objective clinician score; SCORAD combines signs and symptoms), IDQOL/CDLQI parent-proxy quality-of-life, time-to-first-flare (days), healthcare utilization, and cost per symptom-free day to 12 weeks. Engagement/adherence metrics: weekly POEM completion rate, module completion %, total app time, and objective adherence proxies (self-reported fingertip-unit logs and pharmacy refill dates where available). Baselines and covariates: age band (0–2 vs 3–6), SES, primary language, baseline POEM, site. Statistical analysis: primary test = ANCOVA of 12-week POEM with baseline POEM covariate and site fixed effects; two-sided alpha=0.05. Missing data: multiple imputation under MAR (≥20 imputations) with sensitivity analyses: pattern-mixture and tipping-point MNAR models. Longitudinal analysis: mixed-effects model for repeated measures (weeks 0,4,8,12,24,52) with participant random intercept. Time-to-event: Cox proportional hazards for time-to-first-flare. Concordance and reliability: ICC for continuous scores, Cohen's kappa for categorical bands. Ablation/comparison: prespecified observational dose-response (median split of engagement within intervention arm) comparing high- vs low-engagement participants on primary endpoint; exploratory nested mediation analysis using causal mediation (mediators: adherence and steroid-belief score measured at week 6) with bootstrap CIs (seed logged). Subgroup analyses: baseline severity, age band, SES, and primary language; treat interactions as exploratory and report effect sizes with 95% CIs. Sample-size inputs: MCID=3 POEM points, assumed SD=6–7, power target 80–85%, site ICC=0.05; interim blinded re-estimation if pooled SD or ICC exceed assumptions. Safety monitoring: weekly automated red-flag alerts, nurse review KPI ≤4 hours, clinician triage ≤24 hours (≤2 hours for systemic signs); DSMB safety interim at 50% enrollment with predefined stopping rules. Reproducibility: store analysis code and random seeds in repository; archive SAP with exact sample-size code.</w:t>
      </w:r>
    </w:p>
    <w:p>
      <w:r>
        <w:t xml:space="preserve"> </w:t>
      </w:r>
    </w:p>
    <w:p>
      <w:pPr>
        <w:pStyle w:val="Heading2"/>
      </w:pPr>
      <w:r>
        <w:t>Risk Factors And Limitations</w:t>
      </w:r>
    </w:p>
    <w:p>
      <w:r>
        <w:t>Self-report bias: caregivers are unblinded and report POEM, which can inflate perceived effects. Engagement variability: low app use will reduce observed effect and power. Digital divide: families without reliable smartphones or WeChat access may be excluded, limiting generalizability. Measurement limits: objective adherence measures (canister weights, refill linkage) may be incomplete. Missing data: high attrition or missing POEMs can bias results despite imputation. Cluster effects: small and uneven site sizes may make ICC estimation unstable and affect power. Safety misclassification: app red flags may generate false positives or false negatives for infection, complicating SAE adjudication. Limited mediation power: sample size may be insufficient to precisely estimate mediation effects or subgroup interactions. Cultural/linguistic validity: translations may alter psychometric properties of instruments across languages. Privacy risks: photo uploads pose re-identification risk if governance fails. Regulatory scope: results may not generalize to non-WeChat platforms or non-study healthcare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