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lctfound_diffusion_multimodal</w:t>
      </w:r>
    </w:p>
    <w:p>
      <w:r>
        <w:t xml:space="preserve"> </w:t>
      </w:r>
    </w:p>
    <w:p>
      <w:pPr>
        <w:pStyle w:val="Heading2"/>
      </w:pPr>
      <w:r>
        <w:t>Title</w:t>
      </w:r>
    </w:p>
    <w:p>
      <w:r>
        <w:t>Diffusion-based multimodal lung CT foundation model for multi-task disease detection, segmentation, and reconstruction</w:t>
      </w:r>
    </w:p>
    <w:p>
      <w:r>
        <w:t xml:space="preserve"> </w:t>
      </w:r>
    </w:p>
    <w:p>
      <w:pPr>
        <w:pStyle w:val="Heading2"/>
      </w:pPr>
      <w:r>
        <w:t>Short Hypothesis</w:t>
      </w:r>
    </w:p>
    <w:p>
      <w:r>
        <w:t>Pretraining a large-scale lung CT foundation model using diffusion-based self-supervision jointly on volumetric CT images and linked clinical metadata increases per-lesion sensitivity for nodules ≥8 mm by at least 2 percentage points and reduces false positives per scan by at least 0.3 compared to a supervised model trained only on labeled CT images.</w:t>
      </w:r>
    </w:p>
    <w:p>
      <w:r>
        <w:t xml:space="preserve"> </w:t>
      </w:r>
    </w:p>
    <w:p>
      <w:pPr>
        <w:pStyle w:val="Heading2"/>
      </w:pPr>
      <w:r>
        <w:t>Related Work</w:t>
      </w:r>
    </w:p>
    <w:p>
      <w:r>
        <w:t>Existing approaches include supervised deep networks trained on labeled CT for tasks like nodule detection and segmentation, self-supervised methods (masked volume modeling and contrastive learning) for volumetric medical images, generative models for synthetic lesion insertion, and federated learning for multi-institutional training. Supervised models are limited by labeled-data scarcity and often overfit site-specific scanners. Self-supervised methods improve representation but typically do not use diffusion-based generative pretraining nor jointly encode clinical metadata. Generative approaches can create synthetic lesions but often lack physics consistency and rigorous validation. Federated and privacy methods exist but face utility loss, Byzantine risks, and unclear differential privacy parameters for clinical settings. Overall gaps are: limited generative pretraining for volumetric CT, weak multimodal (image+clinical) pretraining, insufficient physics-aware augmentation, and incomplete evaluation on edge cohorts and privacy-utility trade-offs.</w:t>
      </w:r>
    </w:p>
    <w:p>
      <w:r>
        <w:t xml:space="preserve"> </w:t>
      </w:r>
    </w:p>
    <w:p>
      <w:pPr>
        <w:pStyle w:val="Heading2"/>
      </w:pPr>
      <w:r>
        <w:t>Abstract</w:t>
      </w:r>
    </w:p>
    <w:p>
      <w:r>
        <w:t>We address the problem of limited labeled data and poor cross-site generalization for lung CT tasks by developing a diffusion-pretrained, multimodal lung CT foundation model. The model is pretrained with a diffusion-based self-supervision objective on large curated multi-center volumetric CT data while jointly encoding clinical metadata (age, smoking, prior diagnoses). Diffusion-based pretraining uses a generative denoising task that teaches the model to reconstruct realistic CT volumes from noisy inputs; this improves learned features for downstream tasks. The main contribution is a single pretrained backbone that supports multiple downstream tasks (nodule detection, segmentation, sparse-view reconstruction, CT enhancement, virtual CTA, diagnosis and prognosis) and that is evaluated on enriched annotated sets and held-out multi-site cohorts. Expected outcomes include higher detection sensitivity for clinically relevant nodules, improved calibration and lower false-positive rates, robustness to scanner variation through physics-aware augmentations, and quantifiable privacy-utility trade-offs under differential privacy and federated settings. This work provides an auditable path from pretraining to clinical evaluation.</w:t>
      </w:r>
    </w:p>
    <w:p>
      <w:r>
        <w:t xml:space="preserve"> </w:t>
      </w:r>
    </w:p>
    <w:p>
      <w:pPr>
        <w:pStyle w:val="Heading2"/>
      </w:pPr>
      <w:r>
        <w:t>Experiments</w:t>
      </w:r>
    </w:p>
    <w:p>
      <w:r>
        <w:t>Datasets: use a large multi-center pretraining corpus (lungCT-28M style volumetric CTs) for self-supervision; core annotated fine-tuning set = 5,000 enriched studies with ~1,000 positive nodules across size bins; external held-out test sets = 2,000–5,000 scans spanning multiple sites; dedicated edge cohorts: pediatric (n=500), post-surgical/implant (n=1,000), rare devices (n=200). Baselines: (1) supervised fully supervised model trained on labeled data only, (2) masked volume modeling self-supervised pretraining, (3) contrastive pretraining, (4) diffusion pretraining without clinical metadata, (5) diffusion pretraining with clinical metadata (proposed). Metrics: per-lesion sensitivity stratified by diameter bins (≥8 mm, ≥6 mm, 4–6 mm), false positives per scan (FP/scan), AUC, Dice and IoU for segmentation, volumetric MAE and Bland–Altman limits, ECE and calibration slope, Brier score, inference latency (seconds/study), and per-site performance drop. Experimental setup: pretrain backbone with diffusion denoising objective on volumetric patches; include physics-aware augmentations (noise spectra, PSF/resolution, motion); fine-tune multi-task heads for detection, segmentation, and reconstruction. Ablations: (A1) with vs without clinical metadata during pretraining; (A2) with vs without physics-aware augmentations; (A3) with vs without synthetic lesion insertion; (A4) adapter-based fine-tuning vs full fine-tuning. Privacy and federated experiments: run centralized vs horizontal federated training comparison on shared subset; DP Gaussian mechanism epsilon sweep = {0.5,1,2,4,8} with delta=1/N and measure AUC and ECE; accept FL if AUC loss ≤2% absolute. Active-learning RCT: randomize annotation cases to uncertainty+diversity sampling vs random sampling under fixed annotation budget; primary outcome AUC and sensitivity as function of labels; stopping rule: stop if marginal AUC gain &lt;0.5% per 100 annotations for two checks. Statistical analysis: use bootstrap CIs for sensitivity, paired tests for ablations, and mixed-effects models to report per-site clustered estimates. Pre-specified sample targets: ~400 positives per key size bin for precise sensitivity CI (~±3%, 95%).</w:t>
      </w:r>
    </w:p>
    <w:p>
      <w:r>
        <w:t xml:space="preserve"> </w:t>
      </w:r>
    </w:p>
    <w:p>
      <w:pPr>
        <w:pStyle w:val="Heading2"/>
      </w:pPr>
      <w:r>
        <w:t>Risk Factors And Limitations</w:t>
      </w:r>
    </w:p>
    <w:p>
      <w:r>
        <w:t>Technical failure modes: diffusion pretraining may not improve downstream tasks if generative loss emphasizes low-level reconstruction over clinically relevant features; physics-aware augmentations or synthetic lesions may create spurious patterns that increase false positives. Data and evaluation biases: multi-center datasets can still underrepresent scanner models, demographic groups, or rare pathologies, limiting generalization; labeled enrichment strategies risk selection bias. Privacy and legal constraints: differential privacy with low epsilon can degrade utility; federated setup may face legal barriers for some sites. Compute and cost: large-scale diffusion pretraining requires substantial GPU hours and storage, limiting reproducibility for resource-constrained sites. Scalability limits: model size and inference latency may impede on-prem real-time use. Explainability limits: saliency maps and attention may not align with clinician reasoning and can be misinterpreted. Regulatory and validation: prospective pivotal studies and regulatory acceptance are nontrivial and may delay deployment. Evaluation limits: reader studies and active-learning RCTs require time and clinician effort and may be underpowered if enrollment targets are not met.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