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spectral_occlusion</w:t>
      </w:r>
    </w:p>
    <w:p>
      <w:r>
        <w:t xml:space="preserve"> </w:t>
      </w:r>
    </w:p>
    <w:p>
      <w:pPr>
        <w:pStyle w:val="Heading2"/>
      </w:pPr>
      <w:r>
        <w:t>Title</w:t>
      </w:r>
    </w:p>
    <w:p>
      <w:r>
        <w:t>Spectral occlusion via Fourier-domain perturbations for attributing distributed color and texture features in vision and medical imaging</w:t>
      </w:r>
    </w:p>
    <w:p>
      <w:r>
        <w:t xml:space="preserve"> </w:t>
      </w:r>
    </w:p>
    <w:p>
      <w:pPr>
        <w:pStyle w:val="Heading2"/>
      </w:pPr>
      <w:r>
        <w:t>Short Hypothesis</w:t>
      </w:r>
    </w:p>
    <w:p>
      <w:r>
        <w:t>Applying Fourier-domain spectral occlusion to input images causes measurable prediction changes that locate distributed, non-spatial features (colors and textures) more accurately than spatial relevance heatmaps, as shown by higher precision@k and deletion-AUC on synthetic and hyperspectral benchmarks.</w:t>
      </w:r>
    </w:p>
    <w:p>
      <w:r>
        <w:t xml:space="preserve"> </w:t>
      </w:r>
    </w:p>
    <w:p>
      <w:pPr>
        <w:pStyle w:val="Heading2"/>
      </w:pPr>
      <w:r>
        <w:t>Related Work</w:t>
      </w:r>
    </w:p>
    <w:p>
      <w:r>
        <w:t>Existing explainability approaches for vision fall into two groups: gradient-based spatial heatmaps (which compute per-pixel sensitivity) and perturbation/Shapley-style methods (which remove or replace input parts and measure prediction change). Gradient methods (for example, saliency maps and integrated gradients) are fast but often noisy and assume localized, spatial features. Pixel or band occlusion finds causal effects by perturbation but is costly and typically treats features as spatially localized masks. Shapley or SHAP approximations provide principled attributions but scale poorly and are sensitive to correlated features. Fourier and frequency-domain analysis are established for texture and color analysis (they reveal patterns spread across pixels) but are seldom used for attribution. In hyperspectral and medical imaging, many works lack physically grounded synthetic benchmarks and struggle with correlated spectral bands, making attributions ambiguous. Limitations across methods include poor handling of distributed features (color/texture), sensitivity to feature correlations, high computational cost for Shapley methods, and insufficient ground-truth for validation.</w:t>
      </w:r>
    </w:p>
    <w:p>
      <w:r>
        <w:t xml:space="preserve"> </w:t>
      </w:r>
    </w:p>
    <w:p>
      <w:pPr>
        <w:pStyle w:val="Heading2"/>
      </w:pPr>
      <w:r>
        <w:t>Abstract</w:t>
      </w:r>
    </w:p>
    <w:p>
      <w:r>
        <w:t>We address the gap in explaining model decisions driven by distributed, non-spatial image features such as colors and textures. We propose spectral occlusion, a method that manipulates image content in the Fourier (frequency) domain to perturb distributed spectral components and measure resulting prediction changes. By operating in frequency space, spectral occlusion can alter color and texture cues that are spread across pixels, producing attribution perspectives that complement conventional spatial relevance heatmaps. The main contribution is a reproducible pipeline that (1) generates physically informed synthetic spectral benchmarks with known per-band contributions, (2) implements Fourier-domain occlusions and group-aware Shapley approximations, and (3) evaluates how these spectral attributions align with ground truth and transfer to real hyperspectral data. Expected outcomes are improved identification of distributed spectral drivers, quantifiable gains in precision and deletion-based metrics over spatial-only explanations, and a set of reproducible artifacts for validation in vision and medical imaging tasks.</w:t>
      </w:r>
    </w:p>
    <w:p>
      <w:r>
        <w:t xml:space="preserve"> </w:t>
      </w:r>
    </w:p>
    <w:p>
      <w:pPr>
        <w:pStyle w:val="Heading2"/>
      </w:pPr>
      <w:r>
        <w:t>Experiments</w:t>
      </w:r>
    </w:p>
    <w:p>
      <w:r>
        <w:t>Datasets: synthetic endmember mixtures constructed from USGS SPLIB06, ASTER, SPECCHIO/ASD, and PROSPECT-generated vegetation spectra with linear (Dirichlet α ∈ {0.1,0.5,1,5}), bilinear Fan-model (β ∈ {0.1,0.5}), and Hapke-inspired intimate mixes (swept single-scattering albedo); Pavia University HSI as primary real dataset, plus Salinas and Indian Pines for extension. Sensor/noise: SNR ∈ {10,20,30,50} dB, band-dependent shot noise, per-band Gaussian PSF FWHM ∈ {5,10,20} nm, center-wavelength offsets ∈ {0,±2,±5} nm, band dropouts, and gamma nonlinearity γ ∈ [0.8,1.2]. Baselines: spatial relevance heatmaps (Grad-CAM style), Integrated Gradients (IG, 200 steps), Gradient*Input, SmoothGrad (n=50, σ=0.1*std), LIME (500 samples), band-level occlusion (direct spectral mask), grouped SHAP approximation (Monte Carlo 500 samples with grouping). Model and training: 1D-CNN along spectral axis with 3 conv blocks filters 64→128→256, kernel sizes [7,5,3], batchnorm, ReLU, global average pooling, FC(128)→softmax, dropout 0.3; optimizer Adam lr=1e-3, weight_decay=1e-4, batch_size=256, epochs=100, early_stopping patience=10, random seeds=10. Spatial split: tile images into blocks ≥32×32, assign non-adjacent tiles to train/val/test 60/20/20 with 16-pixel buffer; run ≥10 random tilings. Attribution procedures: spectral occlusion implemented as selective attenuation or removal of Fourier-domain components followed by inverse transform to produce perturbed inputs; compare with direct band occlusion (zero or autoencoder-reconstructed replacement). Grouping: hierarchical clustering on 1−|Pearson r|, thresholds {0.75,0.85,0.95}. Ablations: (A) Fourier-domain occlusion vs direct band occlusion; (B) grouped-SHAP thresholds and MC samples {200,500,1000}; (C) zero baseline vs autoencoder (AE) reconstruction replacement; (D) correlated confounder levels Pearson r ∈ {0.7,0.9,0.99} by duplicating bands with noise. Metrics: precision@k (top-k ground-truth bands), deletion-AUC (area under curve when progressively occluding top-attributed features), insertion-AUC, AOPC (average drop in performance), Spearman rank correlation with ground-truth, top-k Jaccard, false-positive attribution rate (fraction of attribution mass on known non-contributors), runtime per-method and per-scene. Statistical protocol: report mean ±95% bootstrap CI, paired Wilcoxon tests with Benjamini-Hochberg correction, power target to detect Cohen's d=0.5 with ≈34 independent tiles, stopping rule if CI width ≤0.05 or max 50 tiles. Repeats: 10 seeds per experiment; record deterministic environment and container artifacts for reproducibility.</w:t>
      </w:r>
    </w:p>
    <w:p>
      <w:r>
        <w:t xml:space="preserve"> </w:t>
      </w:r>
    </w:p>
    <w:p>
      <w:pPr>
        <w:pStyle w:val="Heading2"/>
      </w:pPr>
      <w:r>
        <w:t>Risk Factors And Limitations</w:t>
      </w:r>
    </w:p>
    <w:p>
      <w:r>
        <w:t>Methods may fail when model decisions rely on complex spatial-spectral interactions that neither pure frequency manipulations nor band occlusion isolate. High correlation among spectral bands can produce misleading attributions and inflate false positives. Grouped SHAP approximations may miss fine-grained contributions if grouping is coarse. Finite-difference approximations used for nonlinear Hapke-like ground truth can be sensitive to step size and may not reflect true marginal contributions. Autoencoder-based replacement for conditional occlusion may produce reconstruction errors that bias attribution. Computational cost is high for grouped Shapley and Monte Carlo approximations, limiting scalability to large scenes without significant compute. Results may not generalize beyond hyperspectral domains to natural RGB images with different signal structure. Human interpretation of frequency-domain perturbations can be non-intuitive for non-technical users, and causal claims require retraining or manifold-constrained interventions to be defensible.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