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sit_vs_mict_mito_remodeling</w:t>
      </w:r>
    </w:p>
    <w:p>
      <w:r>
        <w:t xml:space="preserve"> </w:t>
      </w:r>
    </w:p>
    <w:p>
      <w:pPr>
        <w:pStyle w:val="Heading2"/>
      </w:pPr>
      <w:r>
        <w:t>Title</w:t>
      </w:r>
    </w:p>
    <w:p>
      <w:r>
        <w:t>Randomized controlled trial comparing sprint-interval and moderate-intensity continuous exercise on mitochondrial remodelling and stress-response pathways in men</w:t>
      </w:r>
    </w:p>
    <w:p>
      <w:r>
        <w:t xml:space="preserve"> </w:t>
      </w:r>
    </w:p>
    <w:p>
      <w:pPr>
        <w:pStyle w:val="Heading2"/>
      </w:pPr>
      <w:r>
        <w:t>Short Hypothesis</w:t>
      </w:r>
    </w:p>
    <w:p>
      <w:r>
        <w:t>In men, six weeks of sprint-interval exercise produces a greater increase in CI+II-supported OXPHOS normalized to citrate synthase activity (OXPHOS CI+II/CS) than matched-duration moderate-intensity continuous exercise.</w:t>
      </w:r>
    </w:p>
    <w:p>
      <w:r>
        <w:t xml:space="preserve"> </w:t>
      </w:r>
    </w:p>
    <w:p>
      <w:pPr>
        <w:pStyle w:val="Heading2"/>
      </w:pPr>
      <w:r>
        <w:t>Related Work</w:t>
      </w:r>
    </w:p>
    <w:p>
      <w:r>
        <w:t>Prior studies report that high-intensity interval or sprint-interval training often increases markers of mitochondrial biogenesis more than moderate continuous training, but many rely on bulk content measures (for example, citrate synthase activity or mitochondrial protein abundance) rather than content-normalized functional assays. Existing approaches frequently lack standardized respirometry SOPs, limited temporal sampling after acute exercise (missing immediate phosphorylation or ROS signals), small sample sizes, and incomplete multi-omics integration. Proteomic and metabolomic investigations to date are often underpowered or lack internal validation splits and isotopic standards for targeted proteins. These limitations leave unresolved whether intensity alters mitochondrial quality (function per mitochondrion), mitochondrial ultrastructure, and specific stress-response/quality-control pathways when content changes are accounted for. Multiplicity control, pre-registered analysis plans, and strict assay QC have also been inconsistently applied in prior work.</w:t>
      </w:r>
    </w:p>
    <w:p>
      <w:r>
        <w:t xml:space="preserve"> </w:t>
      </w:r>
    </w:p>
    <w:p>
      <w:pPr>
        <w:pStyle w:val="Heading2"/>
      </w:pPr>
      <w:r>
        <w:t>Abstract</w:t>
      </w:r>
    </w:p>
    <w:p>
      <w:r>
        <w:t>This study addresses whether exercise intensity differentially drives mitochondrial functional quality and molecular stress-response pathways in human skeletal muscle. We will conduct an open-label, counterbalanced randomized controlled trial in men comparing six weeks of sprint-interval training (SIT) versus moderate-intensity continuous training (MICT). The primary functional endpoint is change in CI+II-supported OXPHOS normalized to citrate synthase activity (OXPHOS CI+II/CS) to measure mitochondrial respiration per mitochondrial content. The primary molecular endpoint is change in PGC-1α protein measured by targeted parallel reaction monitoring (PRM) with isotopic peptide standards. Muscle biopsies will be collected at baseline, 3–4 h post-acute exercise, and 72 h–1 week post-training, with a randomized subset receiving immediate and 30–60 min acute biopsies to capture transient signalling (phosphorylation, ROS). Secondary outcomes include proteomics, metabolomics/lipidomics, respiratory control ratios, and ultrastructure assays. Pre-specified SOPs, QC thresholds, hierarchical testing, and containerized analysis will ensure reproducibility. Expected outcome: a rigorous, content-normalized assessment of how intensity shapes mitochondrial quality and candidate molecular markers for future studies.</w:t>
      </w:r>
    </w:p>
    <w:p>
      <w:r>
        <w:t xml:space="preserve"> </w:t>
      </w:r>
    </w:p>
    <w:p>
      <w:pPr>
        <w:pStyle w:val="Heading2"/>
      </w:pPr>
      <w:r>
        <w:t>Experiments</w:t>
      </w:r>
    </w:p>
    <w:p>
      <w:r>
        <w:t>Participants and randomization: recruit 60 men, age 18–65, BMI 18–30 kg/m2, recreationally active; randomize 1:1 to SIT (n=30) or MICT (n=30) stratified by baseline VO2peak and age. Intervention: 6 weeks, 3 sessions/week (18 sessions). SIT protocol: warm-up 10 min, 6×30 s all-out sprints with 4 min passive recovery, progress to 8×30 s by week 3, cool-down 5 min. MICT protocol: warm-up 10 min, 40 min continuous at 60–65% VO2peak (RPE ~12–13), cool-down 5 min. Biopsies and tissue allocation: obtain four ~25 mg cores per biopsy event where feasible; Core A → ice-cold BIOPS for respirometry, Core B → snap-freeze for citrate synthase (CS) and targeted PRM proteomics, Core C → snap-freeze for untargeted metabolomics/lipidomics, Core D → archive. Timepoints: baseline, acute 3–4 h post-exercise (all participants), chronic 72 h–1 week post-final session; randomized subset (~50%) to additional immediate (≤10 min) and/or 30–60 min acute biopsies. Assays and baselines: primary baseline comparison is SIT vs MICT. Primary assay: high-resolution permeabilized fiber respirometry SUIT protocol to measure CI+II-supported OXPHOS (CI = complex I, CII = complex II; these are parts of the mitochondrial electron transport chain that drive respiration). Normalize OXPHOS to CS activity measured on sibling core (OXPHOS CI+II/CS). Primary molecular assay: targeted PRM for PGC-1α with isotopic peptide standards (PRM = a targeted mass spectrometry method; isotopic standards = heavy-labeled peptides used for accurate quantification). Secondary assays: global proteomics, untargeted metabolomics/lipidomics (&gt;5,000 features target), respiratory control ratios (RCR), FAO-supported OXPHOS, mtDNA lesion assays, and ultrastructure measures. QC thresholds: respirometry cytochrome c increase ≤15% (tests outer membrane integrity), within-sample respirometry CV ≤10%, biopsy→assay delay ≤5 h preferred, CS assay CV target ≤10%, pooled-QC metabolomics CV ≤20%. Baselines and controls: baseline measures include fasting testosterone and cortisol, 7-day accelerometry, dietary standardization pre-biopsy (overnight fast for chronic biopsies; standardized 600 kcal breakfast 2–3 h pre-acute), sleep and substance use logs. Statistical analysis: primary comparison via linear mixed-effects model with random intercept for subject, fixed effects for group, time, and group*time interaction, adjusted for baseline value and peri-biopsy hormones; hierarchical testing: test OXPHOS CI+II/CS at alpha=0.05, then PGC-1α PRM if primary significant. Power: n=30/group yields ~80–90% power for Cohen’s d ≈0.6–0.7 for primaries accounting for ~15% attrition. Missing data: pre-specified multiple imputation (m=50 imputations) and MNAR sensitivity via delta-adjustment. Comparisons and ablations: baseline comparison SIT vs MICT; ablation 1: compare primary outcome normalized by CS versus normalized to total protein and raw absolute flux to test effect of normalization strategy; ablation 2: exclude subset immediate biopsies to test impact of acute sampling on inferred signalling; all omics analyses use 70/30 discovery/validation split with FDR&lt;0.10 and effect size threshold d&gt;0.5 for candidate nomination.</w:t>
      </w:r>
    </w:p>
    <w:p>
      <w:r>
        <w:t xml:space="preserve"> </w:t>
      </w:r>
    </w:p>
    <w:p>
      <w:pPr>
        <w:pStyle w:val="Heading2"/>
      </w:pPr>
      <w:r>
        <w:t>Risk Factors And Limitations</w:t>
      </w:r>
    </w:p>
    <w:p>
      <w:r>
        <w:t>Technical assay failures: respirometry results can degrade if biopsy→assay delay is long or permeabilization fails; PRM may fail to detect low-abundance PGC-1α peptides or isoform-specific peptides (LOD/LOQ risk). Small effect sizes: true intensity effects may be smaller than assumed, reducing power. Missing data and non-random dropout: biopsy failures or participant withdrawal may be informative (MNAR), biasing results. Generalizability: men-only cohort limits applicability to women and other populations. Confounding and variability: hormonal (testosterone/cortisol), circadian, recent diet, sleep, and unrecorded activity can add variance. Adherence and fidelity: participants may not achieve intended intensities, altering exposure. Multiplicity and false positives: large omics panels increase false discovery risk despite FDR control. Resource limits: high-resolution omics and targeted PRM with isotopic standards are costly and may constrain sample throughput. Inter-operator variability: biopsy technique and respirometry handling across operators can introduce systematic bias. Energy-matching inference: absence of an energy-matched arm prevents definitive separation of intensity versus energy-expenditure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