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dat_tri_structural_ensemble</w:t>
      </w:r>
    </w:p>
    <w:p>
      <w:r>
        <w:t xml:space="preserve"> </w:t>
      </w:r>
    </w:p>
    <w:p>
      <w:pPr>
        <w:pStyle w:val="Heading2"/>
      </w:pPr>
      <w:r>
        <w:t>Title</w:t>
      </w:r>
    </w:p>
    <w:p>
      <w:r>
        <w:t>Structural ensemble mapping of the human dopamine transporter by cryo-EM and molecular dynamics to inform design of triple reuptake inhibitors</w:t>
      </w:r>
    </w:p>
    <w:p>
      <w:r>
        <w:t xml:space="preserve"> </w:t>
      </w:r>
    </w:p>
    <w:p>
      <w:pPr>
        <w:pStyle w:val="Heading2"/>
      </w:pPr>
      <w:r>
        <w:t>Short Hypothesis</w:t>
      </w:r>
    </w:p>
    <w:p>
      <w:r>
        <w:t>Distinct binding poses of triple reuptake inhibitors (TRIs) at the dopamine transporter (DAT) cause and stabilize specific DAT conformations that quantitatively determine inhibitor potency and residence time.</w:t>
      </w:r>
    </w:p>
    <w:p>
      <w:r>
        <w:t xml:space="preserve"> </w:t>
      </w:r>
    </w:p>
    <w:p>
      <w:pPr>
        <w:pStyle w:val="Heading2"/>
      </w:pPr>
      <w:r>
        <w:t>Related Work</w:t>
      </w:r>
    </w:p>
    <w:p>
      <w:r>
        <w:t>Structural studies of monoamine transporters have produced single-state cryo-EM and X-ray snapshots and homology models that identify orthosteric and vestibular pockets. Computational work (docking, short MD) and alchemical free-energy calculations (RBFE) have been used to rank inhibitors, while behavioral and PK studies correlate occupancy with efficacy. Limitations of current approaches: (1) Few high-resolution structures of DAT bound to diverse TRI chemotypes exist, so ligand poses are often inferred from homologs. (2) Single-structure workflows miss transporter conformational ensembles and state-dependent binding. (3) RBFE and MD studies often lack standardized protocols, convergence criteria, and reproducible uncertainty estimates, reducing predictive reliability. (4) PTM heterogeneity (e.g., glycosylation) and membrane composition effects are underrepresented. (5) Integration between structural ensembles, quantitative binding kinetics (residence time), and in vivo occupancy/PK is limited. These gaps impede reliable structure-guided TRI optimization.</w:t>
      </w:r>
    </w:p>
    <w:p>
      <w:r>
        <w:t xml:space="preserve"> </w:t>
      </w:r>
    </w:p>
    <w:p>
      <w:pPr>
        <w:pStyle w:val="Heading2"/>
      </w:pPr>
      <w:r>
        <w:t>Abstract</w:t>
      </w:r>
    </w:p>
    <w:p>
      <w:r>
        <w:t>We will determine structural ensembles of the human dopamine transporter (DAT) bound to multiple triple reuptake inhibitor (TRI) chemotypes and integrate cryo-EM, ensemble molecular dynamics (MD), and quantitative binding assays to link TRI binding poses to transporter conformations and pharmacological properties. High-quality cryo-EM maps and MD-refined pose ensembles will be generated for outward-open, occluded, and inward-like states. We will measure affinities (Ki), kinetic rates (kon/koff), and unbound brain exposure (Kp,uu) for the same TRI panel. Computational relative binding free energy (RBFE) and Markov state modeling (MSM) will estimate pose populations and residence times. Main contribution: a reproducible, validated pipeline that maps pose↔conformation↔pharmacology relationships and yields quantitative rules to prioritize TRI chemotypes for further optimization. Expected outcome: validated correlations between structural ensemble features and potency/residence time that improve prediction of in vivo occupancy and guide design of TRI leads with balanced SERT/NET/DAT profiles.</w:t>
      </w:r>
    </w:p>
    <w:p>
      <w:r>
        <w:t xml:space="preserve"> </w:t>
      </w:r>
    </w:p>
    <w:p>
      <w:pPr>
        <w:pStyle w:val="Heading2"/>
      </w:pPr>
      <w:r>
        <w:t>Experiments</w:t>
      </w:r>
    </w:p>
    <w:p>
      <w:r>
        <w:t>Datasets: (1) Cryo-EM: purified human DAT constructs (glycosylated and deglycosylated variants) expressed in HEK293/Expi systems; for each construct-ligand pair, ≥3 independent biological purifications and ≥2 technical grids; target ≥200k particles per state. (2) Ligand panel: 12 compounds including 4 TRI chemotypes, 4 single-transporter controls (e.g., selective SERT/NET/DAT ligands), and 4 analogs for SAR. (3) Binding/kinetics: radioligand displacement and stopped-flow or surface plasmon resonance for kon/koff with ≥5 biological replicates and triplicate technical repeats. (4) In vivo PK/occupancy: rodent plasma and brain unbound concentrations (n≥4 per dose) and ex vivo occupancy in PFC/NAc. Baselines: (A) docking to single homology/previous-structure pose, (B) MD-free single-structure RBFE, (C) no-ensemble RBFE. Methods and setup: Cryo-EM processing with half-map validation; report local resolution, map–model FSC, ligand Q-score, RSCC (real-space correlation coefficient, a measure of fit). MD: CHARMM36m protein, CHARMM36 lipids, TIP3P water; brain-like membrane; run ensemble MD per cryo state (total sampling per state ≥1 μs aggregated), enhanced sampling (well-tempered metadynamics) on gating coordinates. RBFE: retrospective benchmark then production with ≥3 independent replicates per edge, target bootstrap SEM ≤0.5 kcal·mol−1; report cycle closure. MSM: build from aggregated trajectories to estimate state populations and mean first-passage times. Evaluation metrics: cryo-EM local ligand site resolution (Å), ligand Q-score, RSCC; biochemical Ki (nM) and ΔG (kcal/mol), koff and residence time (minutes), RBFE RMSE and Pearson correlation between predicted ΔG and experimental ΔG, ability to predict ≥2-fold potency shifts (classification accuracy), and correlation between predicted state occupancy and measured residence times (Spearman rho). Ablations/comparisons: (1) ensemble RBFE (MD-refined cryo poses across states) versus single-structure RBFE; (2) inclusion versus exclusion of glycosylation in models; (3) MDFF-refined cryo ensembles versus docking-only poses. Statistical analysis: bootstrap CIs, linear regression, and paired tests (Wilcoxon or paired t-test depending on normality) with multiplicity correction (Benjamini-Hochberg) for multiple comparisons. Acceptance thresholds: local ligand site resolution ≤3.5 Å for confident pose assignment; RBFE RMSE ≤1.5 kcal·mol−1 and Pearson r ≥0.6 for predictive utility.</w:t>
      </w:r>
    </w:p>
    <w:p>
      <w:r>
        <w:t xml:space="preserve"> </w:t>
      </w:r>
    </w:p>
    <w:p>
      <w:pPr>
        <w:pStyle w:val="Heading2"/>
      </w:pPr>
      <w:r>
        <w:t>Risk Factors And Limitations</w:t>
      </w:r>
    </w:p>
    <w:p>
      <w:r>
        <w:t>Technical failure modes: weak or ambiguous ligand density in cryo-EM preventing confident pose assignment (risk: preferred particle orientation, low occupancy). MD/RBFE limitations: incomplete sampling leading to nonconverged ΔG and misleading rank orders; high compute cost for ensemble methods. Biological variability: construct batch heterogeneity, glycosylation and PTM differences across preparations affecting binding. Translational gaps: in vitro affinity/kinetics may not map linearly to in vivo occupancy or behavioral efficacy. Safety constraints: TRI chemotypes with desired affinity may fail ADME/Tox or hERG safety margins. Scalability: generating high-quality cryo maps and long MD for many ligands is time- and compute-intensive and may limit throughput. Evaluation biases: selection of ligand panel or states could bias conclusions; limited species coverage may reduce generalization to human transporters. Measurement noise: variability in kinetic assays and microdialysis can obscure correlations. These factors limit guaranteed prediction performance and generalization beyond tested chemotypes.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