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gtpbp1_mrna_decoding_cryoem</w:t>
      </w:r>
    </w:p>
    <w:p>
      <w:r>
        <w:t xml:space="preserve"> </w:t>
      </w:r>
    </w:p>
    <w:p>
      <w:pPr>
        <w:pStyle w:val="Heading2"/>
      </w:pPr>
      <w:r>
        <w:t>Title</w:t>
      </w:r>
    </w:p>
    <w:p>
      <w:r>
        <w:t>Cryo-electron microscopy and integrative biophysics to determine the structural mechanism of mRNA decoding by mammalian GTPase GTPBP1 on 80S ribosomes</w:t>
      </w:r>
    </w:p>
    <w:p>
      <w:r>
        <w:t xml:space="preserve"> </w:t>
      </w:r>
    </w:p>
    <w:p>
      <w:pPr>
        <w:pStyle w:val="Heading2"/>
      </w:pPr>
      <w:r>
        <w:t>Short Hypothesis</w:t>
      </w:r>
    </w:p>
    <w:p>
      <w:r>
        <w:t>GTPBP1 binding in a GTP-bound state stabilizes a specific decoding-center conformation that increases A-site aminoacyl-tRNA occupancy on mammalian 80S ribosomes, and patient-associated GTPBP1 variants reduce occupancy and destabilize that conformation.</w:t>
      </w:r>
    </w:p>
    <w:p>
      <w:r>
        <w:t xml:space="preserve"> </w:t>
      </w:r>
    </w:p>
    <w:p>
      <w:pPr>
        <w:pStyle w:val="Heading2"/>
      </w:pPr>
      <w:r>
        <w:t>Related Work</w:t>
      </w:r>
    </w:p>
    <w:p>
      <w:r>
        <w:t>Structural studies of translational GTPases (for example bacterial EF-Tu and eukaryotic elongation factors) using cryo-EM and X-ray crystallography have defined how GTP binding and hydrolysis couple to tRNA accommodation. Work on ribosome-associated quality-control factors has used cryo-EM, crosslinking-MS, native MS, and single-molecule methods to map factor binding and competition. Limitations in existing approaches include: 1) scarcity of high-resolution structures for mammalian-specific GTPases bound to the 80S ribosome, 2) difficulty capturing transient, nucleotide-dependent states due to fast kinetics and low occupancy, 3) sample heterogeneity from ribosomal post-translational and rRNA modifications not represented in bacterial systems, 4) limited integration of single-molecule kinetics with structural classes, and 5) few studies that map patient-derived variants to structural/functional outcomes in neuronal contexts. These gaps leave the molecular role of GTPBP1 in mammalian decoding and disease largely unresolved.</w:t>
      </w:r>
    </w:p>
    <w:p>
      <w:r>
        <w:t xml:space="preserve"> </w:t>
      </w:r>
    </w:p>
    <w:p>
      <w:pPr>
        <w:pStyle w:val="Heading2"/>
      </w:pPr>
      <w:r>
        <w:t>Abstract</w:t>
      </w:r>
    </w:p>
    <w:p>
      <w:r>
        <w:t>Accurate mRNA decoding in mammals requires coordinated actions of ribosomes and translational GTPases. This study aims to determine how mammalian GTPBP1 binds the 80S ribosome and influences A-site aminoacyl-tRNA accommodation and quality-control signaling. We will combine cryo-electron microscopy of reconstituted HEK293-derived 80S·mRNA·tRNA complexes trapped in defined nucleotide states with orthogonal biophysical assays: native mass spectrometry, SEC-MALS, crosslinking-mass spectrometry, stopped-flow enzymology, and single-molecule FRET. We will compare wild-type GTPBP1, catalytic mutants, and clinically observed variants to assign structural classes to biochemical states and to quantify how variants alter binding, kinetics, and cellular rescue of translation reporters in iPSC-derived neurons. The main contribution is a validated structural and kinetic framework linking nucleotide-state–dependent GTPBP1 engagement to decoding-center geometry and tRNA occupancy. Expected outcomes are state-specific atomic models, occupancy and kinetic benchmarks, and a mechanistic map that enables interpretation of disease-associated mutations in GTPBP1.</w:t>
      </w:r>
    </w:p>
    <w:p>
      <w:r>
        <w:t xml:space="preserve"> </w:t>
      </w:r>
    </w:p>
    <w:p>
      <w:pPr>
        <w:pStyle w:val="Heading2"/>
      </w:pPr>
      <w:r>
        <w:t>Experiments</w:t>
      </w:r>
    </w:p>
    <w:p>
      <w:r>
        <w:t>Datasets: purified HEK293-derived mammalian 80S ribosomes reconstituted with defined mRNA templates (cognate and near-cognate A-site codons) and aminoacyl-tRNAs; recombinant human GTPBP1 (WT), Walker-A K-&gt;A catalytic mutant, switch-region mutants, and 3 ClinVar-selected patient variants; iPSC-derived NGN2 excitatory neurons (WT and genome-edited variant lines) for cellular assays. Baselines: ribosome complexes without GTPBP1, with non-hydrolyzable nucleotide (GMPPNP/GDPCP), and with catalytic mutant. Cryo-EM setup: prepare matched grids for each condition (no crosslink, GraFix, light GA), collect ≥1,000 micrographs per condition, target ≥300k particles raw and ≥30k classified particles per target state. Evaluation metrics: occupancy percentage of ribosomes with clear GTPBP1 density (report CI), map global resolution (FSC0.143), local resolution for GTPBP1/decoding center, KD and kon/koff from BLI/SPR, kchem and Pi-release from stopped-flow (ms–s), native MS stoichiometry fraction, SEC-MALS monodispersity, crosslink FDR ≤1% and number of high-confidence interfacial crosslinks, smFRET state populations and dwell-time rates (HMM), and cellular rescue effect size and p-value (alpha=0.05, Benjamini–Hochberg FDR). Experimental steps: 1) Biochemistry: express/purify GTPBP1 variants, validate nucleotide loading by HPLC/mant assays, assemble 80S complexes with cognate and near-cognate mRNAs and P-site peptidyl-tRNA where indicated. 2) Biophysical QC: SEC-MALS, AUC, co-sedimentation, native MS to measure occupancy and stoichiometry. 3) Kinetics: stopped-flow mant-GTP and MDCC-PBP Pi-release for free and ribosome-bound GTPBP1 to define timepoints. 4) Cryo-EM: grid optimization (graphene oxide/thin carbon), rapid-mix plunge or analog/mutant trapping, data collection, focused classification to isolate GTPBP1-bound classes; require ≥15% occupancy and ≥30k particles/state to proceed to large-scale. 5) Orthogonal: crosslinking-MS (DSSO/DSBU), smFRET labeling to monitor nucleotide-dependent conformational changes and competition assays with eEF1A/eEF2. 6) Cellular: ribosome profiling (Ribo-IP) for occupancy in neurons and rescue assays using translation reporter and neuronal morphology metrics (n≥6 biological replicates). Ablation/comparisons: WT vs Walker-A vs ClinVar variants; cognate vs near-cognate mRNA; non-crosslinked vs GraFix-treated samples; presence vs absence of P-site peptidyl-tRNA. Analysis: report occupancy CI, statistical tests (ANOVA with multiple-test correction), and map-to-model validation (MolProbity, EMRinger).</w:t>
      </w:r>
    </w:p>
    <w:p>
      <w:r>
        <w:t xml:space="preserve"> </w:t>
      </w:r>
    </w:p>
    <w:p>
      <w:pPr>
        <w:pStyle w:val="Heading2"/>
      </w:pPr>
      <w:r>
        <w:t>Risk Factors And Limitations</w:t>
      </w:r>
    </w:p>
    <w:p>
      <w:r>
        <w:t>Low occupancy of GTPBP1 on ribosomes causing insufficient particle numbers for high-confidence maps; preferred particle orientation on cryo grids limiting resolution; crosslinking or stabilization artifacts that alter native geometry; rapid GTP hydrolysis rates that prevent trapping of transient states despite rapid-freeze hardware; sample heterogeneity from ribosomal PTMs or rRNA modifications not present in reconstituted ribosomes limiting physiological relevance; computational-modeling uncertainties from limited sampling or force-field biases that affect restraint acceptance; variability in iPSC-derived neuronal models and delays or restrictions from IRB/clinical data governance when accessing patient-derived materials; scalability limits for time-resolved cryo (instrument access and cost) and heavy compute needs for enhanced-sampling MD, constraining exhaustive free-energy calculations; results may not fully generalize to all cell types or conditions where cofactors or modifications differ.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