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hrcsa_wound_healing</w:t>
      </w:r>
    </w:p>
    <w:p>
      <w:r>
        <w:t xml:space="preserve"> </w:t>
      </w:r>
    </w:p>
    <w:p>
      <w:pPr>
        <w:pStyle w:val="Heading2"/>
      </w:pPr>
      <w:r>
        <w:t>Title</w:t>
      </w:r>
    </w:p>
    <w:p>
      <w:r>
        <w:t>Histological and molecular assessment of Hibiscus rosa-sinensis and Centella asiatica extract combination (HRCSA) for wound healing in rat excisional models and human 3D organotypic skin constructs</w:t>
      </w:r>
    </w:p>
    <w:p>
      <w:r>
        <w:t xml:space="preserve"> </w:t>
      </w:r>
    </w:p>
    <w:p>
      <w:pPr>
        <w:pStyle w:val="Heading2"/>
      </w:pPr>
      <w:r>
        <w:t>Short Hypothesis</w:t>
      </w:r>
    </w:p>
    <w:p>
      <w:r>
        <w:t>Topical HRCSA (combined Hibiscus rosa-sinensis and Centella asiatica extracts) speeds wound closure, increases wound tensile strength, and upregulates pro-healing gene expression compared with vehicle or single-extract treatments in rat excisional wounds and human 3D organotypic skin models.</w:t>
      </w:r>
    </w:p>
    <w:p>
      <w:r>
        <w:t xml:space="preserve"> </w:t>
      </w:r>
    </w:p>
    <w:p>
      <w:pPr>
        <w:pStyle w:val="Heading2"/>
      </w:pPr>
      <w:r>
        <w:t>Related Work</w:t>
      </w:r>
    </w:p>
    <w:p>
      <w:r>
        <w:t>Centella asiatica extracts (markers: asiaticoside, madecassoside) have been reported to promote collagen synthesis and fibroblast activity; Hibiscus rosa-sinensis contains anthocyanins and polyphenols with antioxidant and anti-inflammatory effects. Prior studies mainly evaluated single-plant extracts using simple in vitro assays (scratch assays) or limited in vivo models, often with poor extract standardization, variable dosing, and without integrated molecular, biomechanical, and pharmacokinetic endpoints. Limitations in existing approaches include inconsistent botanical authentication, lack of isotopically labelled standards for quantitative bioanalysis, sparse tissue PK/metabolite data, limited use of human-relevant 3D organotypic models, and scarce quantitative tensile strength or standardized histomorphometry. These gaps prevent robust comparison of combination therapy versus single extracts and reduce translational confidence.</w:t>
      </w:r>
    </w:p>
    <w:p>
      <w:r>
        <w:t xml:space="preserve"> </w:t>
      </w:r>
    </w:p>
    <w:p>
      <w:pPr>
        <w:pStyle w:val="Heading2"/>
      </w:pPr>
      <w:r>
        <w:t>Abstract</w:t>
      </w:r>
    </w:p>
    <w:p>
      <w:r>
        <w:t>Wound healing research requires reproducible preclinical evidence linking biochemical activity to tissue repair. This study evaluates a combined extract of Hibiscus rosa-sinensis and Centella asiatica (HRCSA) using complementary in vivo and human 3D organotypic models to determine histological, mechanical, and molecular effects. We will apply standardized, authenticated HRCSA topically to rat full-thickness excisional wounds and to engineered human skin constructs, then measure planimetric wound closure, incisional tensile strength, collagen organization, barrier recovery, and expression of wound-healing genes. Targeted LC-MS/MS assays with isotopic internal standards will quantify key markers and tissue exposure. The main contribution is an integrated pipeline that ties pharmacokinetics, quantitative histology, biomechanical strength, and gene-expression changes to test synergy of the two botanicals. Expected outcomes are numeric evidence whether HRCSA outperforms single-plant extracts and vehicle on closure rate, tissue strength, and pro-healing gene induction, providing a reproducible preclinical data package to inform translational decisions.</w:t>
      </w:r>
    </w:p>
    <w:p>
      <w:r>
        <w:t xml:space="preserve"> </w:t>
      </w:r>
    </w:p>
    <w:p>
      <w:pPr>
        <w:pStyle w:val="Heading2"/>
      </w:pPr>
      <w:r>
        <w:t>Experiments</w:t>
      </w:r>
    </w:p>
    <w:p>
      <w:r>
        <w:t>Datasets and biological models: 1) In vivo: adult Sprague-Dawley rats for incisional tensile strength (2 cm linear incision) and C57BL/6J mice for dorsal 6 mm excisional wounds; both sexes balanced, age 8–12 weeks. 2) Impaired healing cohort: db/db diabetic mice, 6–8 mm wounds. 3) In vitro 3D: human organotypic skin constructs (keratinocytes over fibroblast-collagen I matrix) from 3–4 independent donors. Groups and baselines: vehicle control, HRCSA low dose, HRCSA high dose, Hibiscus-only, Centella-only, positive control (standard-of-care topical like rhPDGF gel where model-appropriate). Sample sizes: in vivo n=10/group for efficacy (power ~80% to detect 20% absolute closure difference with SD 15–25%); 3D constructs n=12–16 per group (3–4 donors × 3–4 replicates). Evaluation metrics: percent planimetric wound closure (digital planimetry), time-to-complete re-epithelialization, incisional tensile strength (Newton or kgf), collagen organization (Picrosirius Red polarized-light quantification), immunohistochemistry counts (Ki67, CD31, αSMA, CD68/CD206 per mm2), TEER (transepithelial electrical resistance) and paracellular tracer flux for barrier, multiplex cytokines (IL-1β, IL-6, TNF-α, TGF-β), qRT-PCR for wound genes (VEGF, FGF2, MMP1/9, TIMP1, COL1A1), targeted LC-MS/MS quantitation (asiaticoside, madecassoside, asiatic/madecassic acids, major anthocyanins) with LLOQs 0.5–1 ng/mL plasma and 1–5 ng/g tissue, and untargeted HRMS metabolomics for unknown metabolites. PK matrices and timepoints: plasma, urine, wound tissue and adjacent skin; single-application times: pre-dose, 0.5, 1, 2, 4, 8, 24, 48 h; repeat-dose troughs pre-dose days 3 and 7; terminal tissue harvests at 4, 24, 72 h and day 14. Baseline assays and QC: isotopically labelled internal standards procured; LC-MS/MS validation per FDA bioanalytical guidance (accuracy ±15% ±20% at LLOQ, precision CV ≤15% ≤20% at LLOQ, matrix effect, stability tests). Statistical analysis: longitudinal mixed-effects models for repeated wound measures (fixed effects: treatment, time; random: subject/donor), ANOVA or Kruskal-Wallis for endpoint comparisons, Holm correction for multiplicity, report effect sizes and 95% CIs. Ablations and comparisons: 1) HRCSA vs Hibiscus-only vs Centella-only vs vehicle; 2) formulation ablation: with vs without polysaccharide fraction; 3) dose–response across two HRCSA doses; 4) remove penetration enhancer vs include. Secondary ablation: targeted LC-MS vs untargeted HRMS to evaluate metabolite detection differences. Success criteria for progression to pivotal in vivo: numeric thresholds pre-specified (see gating): ≥20% mean absolute improvement in percent closure at day 14 vs vehicle, inter-donor CV ≤20% in 3D, and adjusted p&lt;0.05.</w:t>
      </w:r>
    </w:p>
    <w:p>
      <w:r>
        <w:t xml:space="preserve"> </w:t>
      </w:r>
    </w:p>
    <w:p>
      <w:pPr>
        <w:pStyle w:val="Heading2"/>
      </w:pPr>
      <w:r>
        <w:t>Risk Factors And Limitations</w:t>
      </w:r>
    </w:p>
    <w:p>
      <w:r>
        <w:t>Technical and assay risks: batch-to-batch variability in botanical extracts may reduce reproducibility; incomplete metabolite reference standards may limit quantitative metabolite interpretation; LC-MS sensitivity or matrix effects could fail to detect low-level tissue exposure. Model and translation limits: rodent skin heals differently than human skin (contraction bias), and 3D constructs lack full immune and vascular complexity, limiting direct human extrapolation. Data and statistical risks: donor-to-donor variability in 3D models may inflate variance and reduce power; false negatives possible if assumed effect sizes or SDs are incorrect. Safety and formulation risks: topical excipients or preservatives can cause irritation or sensitization (assays may not predict rare human responses). Regulatory and ethical constraints: delays in procuring isotopically labelled standards, voucher/legal ABS clearances, or IACUC approval can shift timelines. Scalability: manufacturing standardized extract batches at larger scale may reveal new variability not captured at lab scale. Computational limits: high-dimensional untargeted metabolomics will require substantial storage and compute for MS/MS annotation, which may be resource-limited.</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