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cubic_sno2_co_sensor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Sol–gel spin-coated stabilization of nanostructured cubic-phase SnO2 thin films for low-voltage metal-oxide-semiconductor carbon monoxide sensing with DFT-guided surface energetics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Stabilizing nanostructured cubic-phase SnO2 thin films by a sol–gel spin-coating route increases favorable CO adsorption at surface vacancy and dopant sites compared with tetragonal SnO2, producing larger resistance transduction and a lower limit of detection (≤100 ppb CO) at near-room temperature in MOS devices.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gas-sensor work largely uses tetragonal (rutile-like) SnO2 in powders, nanowires or thin films and improves performance via elevated operating temperature, noble-metal catalysts, oxide promoters (e.g., CeO2), or vacancy engineering. Typical limitations are: requirement for high operating temperature (reduces power efficiency), limited selectivity against H2 and NO2, poor reproducibility across batches, and scarce reports of ambient-stable cubic SnO2 (the cubic phase is normally observed only at high pressure/temperature). Prior thin-film routes (sputter, sol–gel, ALD) have shown morphology control but have not demonstrated scalable stabilization of cubic SnO2 at ambient conditions nor integrated DFT-derived adsorption descriptors with operando spectroscopy and statistically powered sensor validation. Reports often lack standardized LOD reporting, limited interferent matrices, and insufficient replicate counts to support robust down-selection.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the challenge of trace carbon monoxide (CO) detection at low power by developing a fabrication route to stabilize nanostructured cubic-phase tin dioxide (SnO2) thin films using a simple sol–gel process combined with spin coating and rapid thermal anneal. The project integrates structural verification (grazing-incidence XRD, TEM), operando surface spectroscopy, and density functional theory (DFT) calculations to link surface energetics to sensor signals. Films are integrated into low-voltage metal-oxide-semiconductor (MOS) devices and evaluated under controlled humidity and interferent exposure. Main contributions are: (1) a reproducible thin-film route producing measurable cubic-phase fractions at ambient conditions, (2) experimental demonstration of selective CO sensing at trace levels with defined statistical confidence, and (3) DFT-derived descriptors (CO adsorption energy, vacancy formation) mapped to operando observables to guide functionalization. Expected outcome is a validated materials–device workflow that lowers CO limit-of-detection to environmental targets (≤100 ppb) while providing mechanistic descriptors for further optimization. (DFT = density functional theory; a quantum method to compute surface energies.)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 and sample plan: produce films via sol–gel spin coating and, for comparison, conventional tetragonal SnO2 films (sputtered or annealed) across factorial conditions: dopant {none, In 3 at%, Ce 3 at%}, vacancy level {low, high via anneal in O2 or N2}, noble-metal decoration {0, 0.1 at%, 0.5 at% Pt/Pd}. Per condition run pilot n=4 devices to estimate variance, then full study n&gt;=6 independent films per condition repeated across 3 independent batches (&gt;=18 total). Characterization baselines: tetragonal SnO2 film with matched thickness and porosity; commercial NDIR CO analyzer as reference. Measured metrics: LOD (limit of detection, concentration at 3× baseline noise), sensitivity ΔR/R0 per ppm, t50/t90 (time to 50%/90% of steady response), recovery t90, baseline drift % over 30 days, cross-sensitivity (%) to interferents, cubic-phase fraction (%) by GIXRD Rietveld, porosity (%) by ellipsometric porosimetry, and surface chemistry by XPS. Interferent matrix and exposures: H2 at 1 and 10 ppm, NO2 at 50 and 100 ppb, CO2 at 4000 ppm (background), ethanol 1 ppm, acetone 1 ppm, and mixed exposures (CO + H2, CO + NO2) under RH 10%, 30%, 60%, 90%. Gas delivery and chamber: use calibrated mass-flow controllers (example: Alicat or Bronkhorst class with ±0.5% reading) with dynamic dilution into a ~1 L chamber at total flow 500 sccm; document dead-volume and validate with gravimetric or tracer-step tests. Exposure sequence: baseline air or N2 30 min, CO pulses at 100 ppb, 500 ppb, 1 ppm, 5 ppm (5–10 min exposures) with 10–20 min recovery; repeat at temperatures 25°C, 100°C, 150°C, 200°C. Electrical readout: 4-wire resistance sampled at 1 Hz, impedance spectra 0.1 Hz–1 MHz every 10 min, ADC resolution &gt;=16 bits, input impedance &gt;10 MΩ. Data analysis and comparisons: compute LOD = 3σ/S where σ is baseline noise and S is slope from calibration; report 95% CI via bootstrap or mixed-effects model: metric ~ cubic_fraction + dopant + porosity + noble_metal + temperature + RH + (1|batch/sample). Ablation and comparisons: (A) cubic-phase vs tetragonal films to quantify phase effect; (B) noble-metal loading ablation (0 vs 0.1 vs 0.5 at%); (C) dopant ablation (none vs In vs Ce); (D) vacuum/anneal vacancy level effect. Baselines: commercial NDIR and tetragonal SnO2. Evaluation thresholds: environmental LOD ≤100 ppb, aspirational clinical LOD ≤10 ppb; cross-sensitivity: H2(10 ppm) response ≤10% of CO signal, NO2(100 ppb) interference ≤20% of CO signal. All raw data, calibration certificates, and analysis scripts stored in machine-readable format compliant with the MVS schema.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Phase-stability risk: cubic SnO2 may revert to tetragonal phase during anneal, aging, or device operation, yielding low cubic fraction and invalidating hypothesis. Scale and reproducibility: sol–gel + spin coating may produce batch-to-batch variability in porosity and thickness that raises variance and reduces statistical power. Sensitivity and selectivity limits: CO signals may be confounded by H2 or NO2 adsorption leading to false positives; noble-metal loadings may change conductivity and obscure ΔR/R0. Measurement-system errors: MFC nonlinearity, dead-volume, or calibration drift can bias concentration values and LOD estimates. DFT transferability: computed adsorption energies may not fully capture real surface disorder, hydroxylation, or multi-molecule coverage, limiting predictive accuracy. Power and thermal constraints: achieving low-power operation at elevated sensing temperatures may be infeasible for some functionalized films. Long-term stability: baseline drift, contact degradation, or adhesion failure may occur beyond 30 days; accelerated-aging may not exactly mimic field failure modes. Statistical risk: if observed effect sizes (ΔR/R0 per ppm) are smaller or noise larger than assumed, planned n may be insufficient to reach 95% CI targets.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