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xai_tabular_health_benchmark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Systematic benchmarking of local and global explainable AI methods for stroke prediction on tabular healthcare data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conditional-expectation perturbations, grouped-feature and trajectory-aware explanation methods combined with a joint model-centered and human-centered evaluation will yield explanations that align better with clinician plausibility ratings and model-fidelity metrics than explanations produced with marginal perturbations and faithfulness-only evaluation.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provides two main families of explanations for tabular data: local explainers (which explain individual predictions, e.g., SHAP and LIME) and global explanations (which summarize model behavior, e.g., permutation feature importance, partial dependence). Evaluation has focused on model-centered faithfulness metrics such as deletion/insertion curves, infidelity, and stability. For temporal models, some methods extend attributions across time (time-integrated gradients, temporal SHAP), but standardized temporal metrics are limited. Conditional sampling and off-manifold issues have been noted: marginal perturbations can create unrealistic inputs and distort attributions; conditional samplers or generative models are proposed but are not standardized or systematically validated. Causal or SCM-based counterfactuals are used in a few studies but often rely on strong, unverified assumptions. Human-centered evaluations in healthcare are sparse and small-sample, so alignment between algorithmic metrics and clinician judgments remains unresolved. Privacy-preserving data releases (differential privacy, DP) and re-identification risk analyses are discussed in separate literatures but are rarely integrated into XAI benchmarking. Overall limitations: off-manifold perturbation risk, lack of standardized conditional/SCM procedures, few temporal metrics, limited clinician-aligned benchmarks, and weak integration of privacy risk into explanation evaluation.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 reproducible benchmarking framework to evaluate local and global explainable AI (XAI) methods on tabular healthcare data for stroke prediction. The framework combines model-centered metrics that measure how well explanations capture model behavior (faithfulness, infidelity, insertion, temporal infidelity) with human-centered evaluation that measures alignment with clinician judgments (plausibility and actionability). Perturbation protocols include marginal replacement, conditional sampling (Gaussian copula, conditional trees/KDE, conditional generative models), and SCM-based imputation to produce counterfactuals that respect clinical constraints. We test grouped-feature perturbations (e.g., lab panels, vitals) and trajectory-aware explainers for sequence models. We also integrate differential privacy (DP) experiments and re-identification attack evaluations to report privacy-utility trade-offs. The main contribution is an auditable pipeline with explainer wrappers, metric library, off-manifold diagnostics, clinician study design, and unit tests that allow concrete comparison of XAI-method/model pairs. Expected outcome: a validated benchmark that clarifies which explanation methods are faithful to models and useful to clinicians under realistic clinical, temporal, and privacy constraints.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primary: longitudinal tabular EHR stroke-prediction cohort with admission vitals, labs, meds, comorbidities and time-series windows (train/val/test split by time and held-out site for external validation). Synthetic DP datasets generated with DP-GAN/DP-SSG for privacy experiments. Models: logistic regression, decision tree, gradient-boosted trees (e.g., XGBoost), random forest, and sequence models (LSTM or Transformer) for temporal features. Explanation methods (baselines): TreeSHAP, KernelSHAP, LIME, Integrated Gradients (IG), DeepSHAP, attention attribution (for sequence models), permutation importance (global), and interpretable decision-tree baselines. Perturbation modes: (A) marginal replacement, (B) conditional sampling variants: Gaussian copula conditioned on observed features; conditional trees/KDE; conditional VAE/CTGAN; (C) SCM-based imputation with small causal graphs. Grouped perturbation: lab panels, vitals, medication classes, perturbed jointly. Temporal explainers: time-integrated gradients, temporal SHAP, DeepSHAP with hidden-state baselines, and trajectory counterfactuals from sequence generative models. Differential privacy experiments: DP-SGD, PATE, and DP-GAN/DP-SSG with ε ∈ {0.5,1,2,4,8}. Baseline comparisons: marginal vs conditional vs SCM; feature-wise vs grouped perturbation; temporal explainer vs per-time SHAP; DP vs non-DP models. Metrics: deletion-AUC (faithfulness), insertion AUC, infidelity (E[(f(x)-f(x_pert))-a·Δx]^2), attribution-distance (L1/L2 after z-normalization), robustness (normalized attribution-distance), temporal infidelity and temporal stability (median Spearman rho across small time shifts), temporal plausibility (log-likelihood under sequence model), group attribution G_a=sum|a_j|, clinician plausibility/actionability Likert mean, membership-inference AUC, k-anonymity. Experimental setup: run each model-explainer-perturbation combination with 5 seeds; bootstrap 1000 samples for 95% CI; report per-method privacy-utility curves (AUROC vs ε). Clinician study: 30 clinicians each rate 100 randomized cases drawn from explanation outputs; primary pre-registered metric deletion-AUC and primary comparison TreeSHAP vs KernelSHAP vs IG; analysis: mixed-effects model rating ~ method + (1|clinician) + (1|case); multiplicity control via Benjamini-Hochberg FDR 0.05. Ablations: compare conditional modes (copula/tree/KDE/VAE) and SCM; compare grouped vs feature perturbations; ablate temporal perturbation protocols (single timepoint, sliding window, Gaussian time-jitter). Unit tests: analytic toy models (linear, single-feature) to validate metric behavior and expected attribution order.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conditional samplers or generative models may poorly model p(x_S|x_-S), producing low-quality counterfactuals and misleading attributions; SCMs may encode incorrect causal directions. Off-manifold risk: perturbations can create unrealistic patient records that invalidate metrics. Clinician study risks: low inter-rater reliability, limited clinician sample generalizability, and annotation fatigue. Privacy and utility trade-offs: DP training or synthetic data may degrade model performance and explanation fidelity beyond acceptable limits. Compute and scalability: KernelSHAP and large ablation grids are computationally expensive and may not scale to very large cohorts. Evaluation biases: metrics like deletion-AUC can conflict with human judgments and may not capture actionability; reliance on a single dataset (stroke cohort) limits generalization to other conditions or institutions. Re-identification risks: membership-inference or linkage under stronger attacker models may exceed thresholds despite DP or de-identification. Causal inference limits: unmeasured confounding may invalidate causal attributions and SCM-based counterfactuals.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