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methylocystis_intestini_methanotrophy</w:t>
      </w:r>
    </w:p>
    <w:p>
      <w:r>
        <w:t xml:space="preserve"> </w:t>
      </w:r>
    </w:p>
    <w:p>
      <w:pPr>
        <w:pStyle w:val="Heading2"/>
      </w:pPr>
      <w:r>
        <w:t>Title</w:t>
      </w:r>
    </w:p>
    <w:p>
      <w:r>
        <w:t>Isolation, genomic characterization, and gnotobiotic colonization of Methylocystis intestini to test whether gut methane oxidation alters intestinal motility and host fat metabolism</w:t>
      </w:r>
    </w:p>
    <w:p>
      <w:r>
        <w:t xml:space="preserve"> </w:t>
      </w:r>
    </w:p>
    <w:p>
      <w:pPr>
        <w:pStyle w:val="Heading2"/>
      </w:pPr>
      <w:r>
        <w:t>Short Hypothesis</w:t>
      </w:r>
    </w:p>
    <w:p>
      <w:r>
        <w:t>Colonization of the intestine with live Methylocystis intestini that expresses active pmoA (particulate methane monooxygenase gene) reduces luminal methane and, compared with pmoA-deficient or heat-killed controls, causes faster intestinal transit and reduced host fat accumulation.</w:t>
      </w:r>
    </w:p>
    <w:p>
      <w:r>
        <w:t xml:space="preserve"> </w:t>
      </w:r>
    </w:p>
    <w:p>
      <w:pPr>
        <w:pStyle w:val="Heading2"/>
      </w:pPr>
      <w:r>
        <w:t>Related Work</w:t>
      </w:r>
    </w:p>
    <w:p>
      <w:r>
        <w:t>Existing work shows environmental and some gut-associated methanotrophs can oxidize methane and that methane correlates with slower gut transit and altered host metabolism. Methods developed for related Alphaproteobacteria include conjugation and electroporation for genetic manipulation, CRISPRi for gene knockdown, NanoSIMS for single-cell isotope mapping, and gnotobiotic mouse colonization to test host effects. Limitations: no well‑described, human‑derived gut Methylocystis isolate has been widely validated; genetic modification efficiency in slow‑growing methylotrophs is often low or variable; spatial measures of O2 and CH4 in mucus vs lumen are sparse; tracer delivery (13C‑CH4) and single‑cell isotope detection face safety and sensitivity constraints; and prior association studies lack causal tests using genetically defined methanotroph perturbations.</w:t>
      </w:r>
    </w:p>
    <w:p>
      <w:r>
        <w:t xml:space="preserve"> </w:t>
      </w:r>
    </w:p>
    <w:p>
      <w:pPr>
        <w:pStyle w:val="Heading2"/>
      </w:pPr>
      <w:r>
        <w:t>Abstract</w:t>
      </w:r>
    </w:p>
    <w:p>
      <w:r>
        <w:t>We address whether a human‑derived gut methanotroph can causally modulate intestinal methane, peristalsis, and host fat metabolism. The approach is to isolate and genome‑sequence Methylocystis intestini, measure its methane‑oxidation capacity in vitro, genetically test the role of pmoA (a key methane monooxygenase gene) using knockdown or knockout where feasible, and colonize germ‑free (gnotobiotic) mice with wild‑type and pmoA‑deficient strains. We will apply 13C‑CH4 stable‑isotope tracing and spatial single‑cell isotope imaging (NanoSIMS) to map methane carbon flow into microbes and host tissues, paired with breath/fecal methane measurements and transit assays to quantify physiology. The main contribution is a causal, multi‑scale test linking microbial methane oxidation to host motility and fat storage, with genomic and metagenomic context for human prevalence. Expected outcomes are (1) validated isolate and genome, (2) demonstration whether pmoA‑dependent methane oxidation alters transit and fat mass in vivo, and (3) an atlas of methane‑oxidation genes in human fecal metagenomes to assess translational relevance.</w:t>
      </w:r>
    </w:p>
    <w:p>
      <w:r>
        <w:t xml:space="preserve"> </w:t>
      </w:r>
    </w:p>
    <w:p>
      <w:pPr>
        <w:pStyle w:val="Heading2"/>
      </w:pPr>
      <w:r>
        <w:t>Experiments</w:t>
      </w:r>
    </w:p>
    <w:p>
      <w:r>
        <w:t>1) Datasets and materials: (a) newly isolated Methylocystis intestini cultures; (b) public human fecal metagenomes for prevalence survey; (c) gnotobiotic mouse cohorts for in vivo tests. 2) Baselines and controls: wild‑type M. intestini; pmoA‑deficient strain (genetic knockout or CRISPRi knockdown) to remove methane oxidation; heat‑killed cells; no‑methanotroph vehicle; non‑methanotrophic methylotroph control. 3) In vitro assays: measure methane oxidation rates (headspace CH4 decline, GC or cavity ring‑down), growth curves, and 13C incorporation into biomass from 13C‑CH4 over 0,6,12,24,48 h. 4) Genomics: hybrid long+short read assembly for closed genome; annotate pmoCAB and related C1 pathways. 5) Gnotobiotic in vivo study (primary endpoint = intestinal transit time): pilot n=8–12 mice/group to estimate variance; final cohorts sized by power calculations targeting 80% power (example targets: n≈22–35/group depending on endpoint and multiplicity). Groups: WT, pmoA‑deficient, heat‑killed, no‑colonization. Randomize cages and blind outcome assessors. 6) In vivo measurements: breath/fecal CH4 (cavity ring‑down or GC, ppb sensitivity), transit time (carminered dye and radiopaque bead/X‑ray), body composition (qMRI or DEXA), and tissue lipid quantification. 7) Tracer and spatial assays: controlled 13C‑CH4 pulses (100–200 ppm for 10 min pulses) in whole‑animal chambers (safety SOP required), collect breath, feces, portal and systemic blood, liver, adipose, gut tissues. Analyze 13C incorporation by GC‑C‑IRMS for volatiles and compound‑specificity, LC‑HRMS for polar and lipid metabolites, and NanoSIMS (FISH‑coupled) for single‑cell 13C mapping. 8) Evaluation metrics: primary—change in intestinal transit time; secondary—breath/fecal CH4 ppm, percent 13C enrichment in key host lipids (atom% excess), fat mass change, colonization load by qPCR, and expression of methane oxidation genes. 9) Comparisons and ablation studies: (A) WT vs pmoA‑deficient tests pmoA dependence; (B) colonized vs heat‑killed tests viability dependence; (C) heterologous expression or chemical MMO inhibition if genetic manipulation fails; (D) metagenomic prevalence vs observed in vivo effect to evaluate translational scope. 10) Analysis: mixed‑effects models with cage as random factor; pre‑specify primary endpoint and hierarchical testing for secondary endpoints; report effect sizes, confidence intervals, and multiple‑testing adjustments.</w:t>
      </w:r>
    </w:p>
    <w:p>
      <w:r>
        <w:t xml:space="preserve"> </w:t>
      </w:r>
    </w:p>
    <w:p>
      <w:pPr>
        <w:pStyle w:val="Heading2"/>
      </w:pPr>
      <w:r>
        <w:t>Risk Factors And Limitations</w:t>
      </w:r>
    </w:p>
    <w:p>
      <w:r>
        <w:t>1) Isolation failure or slow growth: M. intestini may require extended enrichment and may remain uncultured; experiments depending on isolate would be delayed. 2) Genetic intractability: low transformant rates or plasmid instability in slow growers could prevent definitive pmoA perturbation. 3) Tracer and detection limits: 13C‑CH4 delivery has safety constraints and detection of small 13C enrichments in tissues may be below instrument limits. 4) Measurement artifacts: fixation or sample prep can exchange carbon and bias NanoSIMS/SIP results; small errors in blanks/standards propagate in mass balances. 5) Biological variability: gnotobiotic mouse responses may be variable and not generalize to humans; diet, sex, and cage effects may confound results. 6) Statistical multiplicity: multiple physiologic endpoints risk false positives if not pre‑specified or hierarchically tested. 7) Resource and timeline limits: NanoSIMS access, long culture times, and IACUC safety approvals may constrain schedule. 8) Generalization limits: even if pmoA‑dependent effects are seen in mice, differences in human gut ecology may limit translational applicability.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