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pinocembrin_propolis_inflammation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Preclinical randomized controlled evaluation of oral pinocembrin from Nigerian propolis on circulating IL-6, IL-1β, and adipokine profiles in Wistar rats exposed to chronic glucose and fructose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Oral administration of purified pinocembrin reduces circulating IL-6 and IL-1β and increases adiponectin in Wistar rats receiving chronic oral glucose and fructose compared with sugar-fed controls.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Flavonoids including pinocembrin have reported anti-inflammatory and metabolic effects in preclinical models. Prior studies show reductions in proinflammatory cytokines and improvements in some metabolic markers after flavonoid treatment. Common limitations are: single‑sex or small cohorts that limit generalizability; lack of rigorous pharmacokinetics (PK) and tissue distribution data to link exposure to effect; inconsistent compound quality control and variable extract composition; few studies compare against standard drugs (for example metformin) in the same design; inadequate control for caloric intake (no pair‑feeding) so sugar-specific effects are unclear; limited adipose tissue cellular phenotyping and metabolite testing to identify active species. Assay validation, batch randomization, and multiplicity control are often incomplete, reducing reproducibility.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Chronic excess dietary glucose and fructose promote low‑grade inflammation and dysregulated adipokines that contribute to metabolic disease. This study tests whether purified pinocembrin from Nigerian propolis modulates circulating IL-6, IL-1β, and adiponectin in a controlled Wistar rat model of prolonged sugar intake. We will first run a PK pilot (oral 10 and 30 mg/kg) to define systemic and adipose exposures and identify major metabolites. The primary efficacy study is a randomized, sex‑stratified, pair‑fed four‑group design (control; sugar; sugar+pinocembrin; sugar+metformin) with 8 weeks of treatment, blinded outcome assessment, validated immunoassays for cytokines/adipokines, and LC‑MS/MS bioanalysis. Main contributions are: rigorous exposure‑guided dosing of a natural product with full QC, integration of PK/PD and metabolite testing, and pre‑specified mixed‑model statistics controlling for cage clustering and multiplicity. Expected outcome: quantifiable modulation of IL-6/IL-1β/adiponectin linked to pinocembrin exposure, enabling mechanistic interpretation and comparison to metformin.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Design: four groups of Wistar rats (both sexes), randomized at cage level: (1) control vehicle; (2) chronic sugar (10% w/v glucose+10% w/v fructose in drinking water) + vehicle; (3) sugar + oral pinocembrin; (4) sugar + metformin. Sample size: n=12 animals per group per sex (pilot‑based; power ~80% to detect ~30% mean change with SD ~25% of mean); finalize after PK/phenotype pilot. Duration: 8 weeks treatment. PK pilot: oral gavage 10 and 30 mg/kg, serial plasma up to 24 h, tissues (liver, epididymal/subcutaneous adipose), bile collection subset to assess enterohepatic recirculation. Compound QC: pinocembrin purity ≥95% (HPLC/LC‑MS), isotopically labeled internal standard for LC‑MS/MS. Primary endpoints: circulating IL‑6 and IL‑1β (pg/mL) and adiponectin (µg/mL). Secondary endpoints: leptin, resistin, TNF‑α, MCP‑1, fasting glucose, insulin, HOMA‑IR, ALT, AST, histology (liver steatosis, adipose crown‑like structures), adipose macrophage phenotype (M1/M2 by flow cytometry), tissue cytokine per mg tissue or per mg total protein. Assays: rat‑validated MSD or single‑plex ELISA with vendor/lot tracking; LC‑MS/MS method validated per bioanalytical guidance (≥6 calibration levels, LLOQ/ULOQ, accuracy ±15%, precision CV≤15%). Randomization and blinding: computer‑generated cage stratified by baseline weight and fasting glucose; blinding code held by independent manager; histopathology and image analysis blinded. Pair‑feeding: for each sugar cage, matched control cage receives isocaloric intake equal to measured calories (food+fluid) to separate caloric from sugar effects. Sampling schedule: baseline, week 4 (midpoint), week 8 (terminal); samples collected ZT4–ZT6 after 6 h fast to reduce circadian variability. Statistical analysis: linear mixed‑effects models (outcome ~ treatment*sex + timepoint + baseline covariates; random intercepts for cage and animal; AR(1) for repeated measures); hierarchical testing for primaries (familywise α=0.05), FDR for secondaries. Comparisons: (A) sugar vs control; (B) sugar+pinocembrin vs sugar; (C) sugar+pinocembrin vs sugar+metformin. Ablation/validation studies: in vitro testing of top 3 synthesized metabolites (glucuronide, sulfate, primary hydroxylation) on primary adipocytes and macrophages to compare cytokine/adipokine effects; compare responses with and without endotoxin removal to test matrix artifact. PK/PD: fit exposure–response curves (Emax or nonlinear mixed effects) relating plasma and adipose pinocembrin/metabolite concentrations to primary endpoints; mediation analysis to test whether changes in macrophage phenotype or NF-κB markers mediate cytokine/adipokine effects. QC and batch handling: randomize samples across plates, include pooled QC and bridge samples, predefine plate exclusion if QC bias &gt;15% or drift &gt;20%; provide R/Python scripts for plate randomization and QC scaling.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Low oral bioavailability: pinocembrin may have poor absorption leading to inadequate adipose exposure; PK failure would limit interpretation. Unknown metabolite activity: active metabolites may drive effects and not parent compound, complicating exposure–response. Propolis variability: natural product batch differences could introduce heterogeneity despite QC. Assay interference: propolis matrix or metabolites may cause cross‑reactivity in immunoassays or endotoxin contamination may confound cytokine readouts. Cage clustering and sex interactions: increased variance and intracluster correlation may require larger sample sizes and reduce power. Welfare/surgical risks: bile cannulation increases surgical risk and may reduce sample size. Translational limits: rat metabolic and immune responses may not reflect human physiology. Statistical multiplicity: many secondary endpoints increase false‑positive risk if not properly controlled. Resource constraints: metabolite synthesis, advanced formulations, or formulation escalation increase time and costs, which may delay locking of the main protocol.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