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sebaceous_molecular_cartography</w:t>
      </w:r>
    </w:p>
    <w:p>
      <w:r>
        <w:t xml:space="preserve"> </w:t>
      </w:r>
    </w:p>
    <w:p>
      <w:pPr>
        <w:pStyle w:val="Heading2"/>
      </w:pPr>
      <w:r>
        <w:t>Title</w:t>
      </w:r>
    </w:p>
    <w:p>
      <w:r>
        <w:t>Integrated multi-omic spatial and single-cell molecular classification to distinguish malignant versus benign sebaceous tumors</w:t>
      </w:r>
    </w:p>
    <w:p>
      <w:r>
        <w:t xml:space="preserve"> </w:t>
      </w:r>
    </w:p>
    <w:p>
      <w:pPr>
        <w:pStyle w:val="Heading2"/>
      </w:pPr>
      <w:r>
        <w:t>Short Hypothesis</w:t>
      </w:r>
    </w:p>
    <w:p>
      <w:r>
        <w:t>An integrated classifier that fuses spatial transcriptomics, single-cell/nucleus RNA-seq, imaging mass cytometry, and LCM-based proteomics will yield higher per-patient discrimination (AUC) between malignant and benign sebaceous tumors than histopathology alone.</w:t>
      </w:r>
    </w:p>
    <w:p>
      <w:r>
        <w:t xml:space="preserve"> </w:t>
      </w:r>
    </w:p>
    <w:p>
      <w:pPr>
        <w:pStyle w:val="Heading2"/>
      </w:pPr>
      <w:r>
        <w:t>Related Work</w:t>
      </w:r>
    </w:p>
    <w:p>
      <w:r>
        <w:t>Current approaches to sebaceous tumor classification rely primarily on histopathology, targeted sequencing for mismatch-repair (MMR) deficiency and tumor mutational burden, and single-modality molecular assays (spatial transcriptomics, single-cell RNA-seq, or proteomics) performed separately. AI tools in dermatopathology show promise for image-based classification but often lack molecular integration. Studies of mutational signatures (UV, POLE/POLD1, AID/APOBEC) and recurrent drivers (TP53, RB1, ZNF750) exist, but sample sizes are small and proteogenomic integration is limited. Limitations in prior work include: small or single-site cohorts, FFPE-related RNA/protein degradation not fully addressed, inconsistent QC thresholds across assays, lack of harmonized batch-correction within cross-validation (risking information leakage), weak handling of lipid-rich sebaceous cell biology (which lowers RNA complexity), and few studies with external validation or CLIA-ready workflows. No prior study provides a large-scale, harmonized multi-omic atlas combining spatial, single-cell, IMC, and LCM-proteomics with pre-registered analysis and operational CLIA pathways.</w:t>
      </w:r>
    </w:p>
    <w:p>
      <w:r>
        <w:t xml:space="preserve"> </w:t>
      </w:r>
    </w:p>
    <w:p>
      <w:pPr>
        <w:pStyle w:val="Heading2"/>
      </w:pPr>
      <w:r>
        <w:t>Abstract</w:t>
      </w:r>
    </w:p>
    <w:p>
      <w:r>
        <w:t>We address the problem of distinguishing malignant from benign sebaceous tumors by building a harmonized multi-omic molecular atlas and an integrated classifier. We combine spatial transcriptomics (measuring RNA across tissue spots), single-cell/nucleus RNA-seq (measuring RNA per cell or nucleus), imaging mass cytometry (measuring proteins in situ), and laser-capture-microdissected proteomics (measuring peptides from precise regions). The main contribution is a reproducible pipeline that (1) standardizes pre-analytic QC for lipid-rich sebaceous tissue, (2) evaluates fusion strategies to combine modalities, and (3) pre-registers statistical tests and classifier families with nested patient-level cross-validation to avoid leakage. We will use a global cohort (N=286) and a 5–10 case per-arm pilot to estimate variance and sampling intraclass correlation. Expected outcomes are: (a) a validated multi-omic malignancy score with improved AUC over histopathology, (b) a prioritized list of RNA/protein markers distinguishing malignant from benign lesions, and (c) an operational SAP and QC table suitable for CLIA confirmation and external validation. These deliverables aim to improve diagnostic accuracy and enable clinical translation.</w:t>
      </w:r>
    </w:p>
    <w:p>
      <w:r>
        <w:t xml:space="preserve"> </w:t>
      </w:r>
    </w:p>
    <w:p>
      <w:pPr>
        <w:pStyle w:val="Heading2"/>
      </w:pPr>
      <w:r>
        <w:t>Experiments</w:t>
      </w:r>
    </w:p>
    <w:p>
      <w:r>
        <w:t>Datasets: internal global cohort of 286 sebaceous tumors with matched FFPE blocks, including spatial transcriptomics (Visium/GeoMx), sc/snRNA-seq (10x v3 or nuclei), IMC (35–40 markers), and LCM-TMT or DIA proteomics; pilot subset 5–10 malignant and 5–10 benign cases with ≥3 ROIs per case; independent external validation cohort target N=60 from 1–2 collaborating centers. Baselines: (A) histopathologist majority vote classification; (B) best single-modality classifier per assay; (C) early-fusion concatenated multi-omic model; (D) late-fusion ensemble (modality-specific models + meta-learner). Preprocessing &amp; QC: harmonized QC table (primary/secondary thresholds) applied; remove spots/cells/ROIs failing thresholds; document exceptions for lipid-rich cells. Model families and hyperparameter grids (to pre-register): (1) Elastic-net logistic regression (alpha grid [0.1,0.5,0.9], lambda cross-validated 10 values); (2) XGBoost (trees 50,100,200; learning rate 0.01,0.1; max_depth 3,6); (3) Random forest (trees 200,500; max_features sqrt, log2); (4) Feedforward neural net (one hidden layer 32,64 units; dropout 0.2,0.5). Feature fusion strategies: early concatenation, stacked ensemble (meta-learner logistic), modality-specific models with weighted averaging. Missing modalities: impute features via modality-specific autoencoder (if ≤30% modalities missing per patient) or use modality-specific classifiers in ensemble; exclude patient if &gt;30% modalities missing. Cross-validation and batch-correction: nested patient-level CV with outer 5 folds stratified by site and MMR status and inner 3-fold for hyperparameter tuning; apply batch-correction (ComBat or Harmony) fitted only on training folds and applied to test fold to avoid leakage. Evaluation metrics: primary metric per-patient AUC with stratified bootstrap 95% CI; secondary metrics sensitivity/specificity at pre-specified thresholds, PPV/NPV, Brier score (calibration), decision-curve analysis, and ROI-level differential expression with mixed-effects models reporting FDR. Additional measures: ICC (ROI within-patient), segmentation IoU/Dice, technical CV for proteomics. Comparisons and ablation studies: (1) Compare classifier families (elastic-net vs XGBoost vs RF vs NN) on same fused features; (2) Compare fusion strategies (early vs late vs modality-specific ensemble); (3) Ablate batch-correction methods (none vs ComBat vs Harmony) applied inside CV; (4) ROI sampling ablation: 1 vs 3 vs 4 ROIs/patient to measure effect on AUC and ICC; (5) Evaluate effect of peptide-yield pooling thresholds (no pooling vs pool if &lt;100 ng). Statistical tests: bootstrap for AUC differences, BH FDR for marker discovery, report effect sizes and 95% CIs. External validation: apply locked classifier trained on full discovery set to independent cohort (N=60) and report per-patient AUC, calibration, and pre-specified acceptance criteria for CLIA confirmation (AUC target and sensitivity/specificity thresholds to be defined in SAP).</w:t>
      </w:r>
    </w:p>
    <w:p>
      <w:r>
        <w:t xml:space="preserve"> </w:t>
      </w:r>
    </w:p>
    <w:p>
      <w:pPr>
        <w:pStyle w:val="Heading2"/>
      </w:pPr>
      <w:r>
        <w:t>Risk Factors And Limitations</w:t>
      </w:r>
    </w:p>
    <w:p>
      <w:r>
        <w:t>Technical risks: poor RNA quality from FFPE or lipid-rich sebaceous cells leading to low gene counts; low peptide yield from small LCM ROIs causing limited proteomic depth; high IMC channel spillover or low SNR for some antibodies. Statistical risks: high intraclass correlation (ICC) within patients reducing effective sample size; class imbalance if malignant cases are rarer; overfitting complex models on limited samples. Batch and confounding risks: strong batch effects across sites or platforms that may be hard to correct without removing biological signal; batch-correction overcorrection leading to loss of real differences. Data and annotation risks: ROI or pathology annotation errors and segmentation mistakes that propagate into models. Missing data risks: missing modalities for some patients reduce power and complicate fusion; imputation may introduce bias. Generalizability limits: models trained on this cohort may not transfer to different populations or fixation protocols. Operational limits: CLIA confirmation and clinical return workflows may be delayed by logistics; compute and storage demands for multi-omic data are substantial and may restrict reproducibility. Evaluation limits: external validation cohort may be limited in size, constraining confidence in real-world performance.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