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power_analysis_lmm_glmm_reliability</w:t>
      </w:r>
    </w:p>
    <w:p>
      <w:r>
        <w:t xml:space="preserve"> </w:t>
      </w:r>
    </w:p>
    <w:p>
      <w:pPr>
        <w:pStyle w:val="Heading2"/>
      </w:pPr>
      <w:r>
        <w:t>Title</w:t>
      </w:r>
    </w:p>
    <w:p>
      <w:r>
        <w:t>Analytic-validity and simulation-benchmarked adjustments for statistical power in clustered linear and generalized linear mixed models incorporating measurement reliability</w:t>
      </w:r>
    </w:p>
    <w:p>
      <w:r>
        <w:t xml:space="preserve"> </w:t>
      </w:r>
    </w:p>
    <w:p>
      <w:pPr>
        <w:pStyle w:val="Heading2"/>
      </w:pPr>
      <w:r>
        <w:t>Short Hypothesis</w:t>
      </w:r>
    </w:p>
    <w:p>
      <w:r>
        <w:t>Applying Kenward–Roger variance and degrees-of-freedom adjustments together with explicit measurement-reliability corrections produces power estimates whose absolute error relative to benchmark Monte Carlo power is smaller than that of standard design-effect or unadjusted Laplace approximations across prespecified cluster-count, cluster-size, and ICC grids.</w:t>
      </w:r>
    </w:p>
    <w:p>
      <w:r>
        <w:t xml:space="preserve"> </w:t>
      </w:r>
    </w:p>
    <w:p>
      <w:pPr>
        <w:pStyle w:val="Heading2"/>
      </w:pPr>
      <w:r>
        <w:t>Related Work</w:t>
      </w:r>
    </w:p>
    <w:p>
      <w:r>
        <w:t>Existing approaches include (1) design-effect formulas for clustered data that scale variance by 1+(m-1)·ICC (ICC = intraclass correlation, the share of total variance due to clusters), (2) Satterthwaite and Kenward–Roger small-sample df and variance adjustments for linear mixed models, (3) delta-method linearization and first-order Laplace approximations for generalized linear mixed models (GLMMs), (4) simulation-based tools (for example, packages that simulate data under specified mixed models), and (5) measurement-error corrections that disattenuate effects using reliability estimates. Limitations: analytic formulas often rely on large numbers of clusters and break down for small J, strong imbalance, rare events, or large random effects; GLMM linearizations can be biased near probability extremes; many methods ignore uncertainty in measurement reliabilities; benchmarking against simulations and publication-bias–informed priors is limited; and standard tools lack prespecified MCSE tolerances, failure-logging, and systematic unit tests for edge cases.</w:t>
      </w:r>
    </w:p>
    <w:p>
      <w:r>
        <w:t xml:space="preserve"> </w:t>
      </w:r>
    </w:p>
    <w:p>
      <w:pPr>
        <w:pStyle w:val="Heading2"/>
      </w:pPr>
      <w:r>
        <w:t>Abstract</w:t>
      </w:r>
    </w:p>
    <w:p>
      <w:r>
        <w:t>We address the problem that common analytic power formulas for clustered linear and generalized linear mixed models can be inaccurate in practical behavioral-science designs, especially when cluster counts are small, cluster sizes are unbalanced, outcomes are nonnormal or rare, or measures have limited reliability. Our approach combines closed-form variance and noncentrality approximations with Kenward–Roger small-sample adjustments, explicit measurement-reliability (disattenuation) corrections, and prespecified validity envelopes that flag regions requiring simulation. We benchmark analytic outputs against large Monte Carlo grids and against established simulation tools, using deterministic seeds and MCSE targets to ensure reproducibility. Main contributions: (1) a catalog of analytic formulas with domains of validity, (2) quantified sample-size inflation rules for ICC misspecification and measurement noise, and (3) a reproducible validation protocol with unit tests and runtime budgets. Expected outcome: practical, testable guidelines and software-ready formulas that reduce power-estimation error in routine behavioral designs and clearly indicate when simulation or Bayesian latent integration is necessary.</w:t>
      </w:r>
    </w:p>
    <w:p>
      <w:r>
        <w:t xml:space="preserve"> </w:t>
      </w:r>
    </w:p>
    <w:p>
      <w:pPr>
        <w:pStyle w:val="Heading2"/>
      </w:pPr>
      <w:r>
        <w:t>Experiments</w:t>
      </w:r>
    </w:p>
    <w:p>
      <w:r>
        <w:t>Datasets: (A) Large simulation grid using synthetic data with parameter axes J = {4,8,12,20,30,50,100,200}, m = {1,3,5,10,20,50}, ICC = {0.01,0.05,0.10,0.20,0.35,0.50}, standardized effects d = {0.10,0.20,0.35,0.50,0.80}, imbalance CV = {0,0.25,0.5}, dropout {0%,10%,25%} under MAR and MNAR variants, reliabilities r = {0.50,0.70,0.80,0.90,0.95}, and GLMM baseline p0 = {0.01,0.05,0.10,0.20,0.50,0.80}; (B) three real behavioral/pilot datasets of moderate cluster counts (example: school-class surveys, clinic sites, therapy groups) for empirical calibration. Baselines: unadjusted design-effect analytic formulas, Satterthwaite-only adjustment, Kenward–Roger adjustment, first-order Laplace GLMM approximation, simr-style simulation, powerlmm-style approximations, and full Bayesian latent-variable assurance. Evaluation metrics: absolute power error in percentage points (|analytic_power - MonteCarlo_power|), Type I error deviation (percentage points), Monte Carlo standard error (MCSE), estimator relative bias (|mean_hat - true|/|true|), 95% CI coverage deviation (pp), runtime (CPU hours) and failure rate (failed fits per cell). Experimental setup: deterministic seeds per cell; adaptive Monte Carlo with min R=2000 and batching of 2000 up to Rmax=100000 to meet MCSE targets (0.005 for power, 0.0025 for Type I). Comparisons/ablations: (1) full method vs no-reliability correction, (2) KR+reliability vs Satterthwaite+reliability, (3) analytic Laplace vs simulation for extreme p0 (0.01,0.80) and small J (&lt;20), (4) effect-scale ablation comparing link-scale, odds-ratio, risk-difference, and latent-SD mappings. Report per-cell metrics, and aggregate exceedance counts where analytic tolerances fail.</w:t>
      </w:r>
    </w:p>
    <w:p>
      <w:r>
        <w:t xml:space="preserve"> </w:t>
      </w:r>
    </w:p>
    <w:p>
      <w:pPr>
        <w:pStyle w:val="Heading2"/>
      </w:pPr>
      <w:r>
        <w:t>Risk Factors And Limitations</w:t>
      </w:r>
    </w:p>
    <w:p>
      <w:r>
        <w:t>Technical failures: nonconvergence of mixed-model optimizers, singular or boundary variance estimates, and unstable Laplace approximations for strong random effects. Data biases: publication bias in meta-analytic priors can skew assurance results; MNAR dropout can invalidate MAR-based simulations. Scalability: large Monte Carlo grids require substantial CPU hours and can be costly; runtime variability may impede reproducibility without cloud resources. Generalization limits: analytic validity envelopes will not cover extreme domains (very small J, extreme event rates, ICC&gt;0.5, or heavy-tailed random effects); recommendations will therefore sometimes require simulation or full Bayesian latent models. Evaluation limits: real-data calibration depends on availability of representative pilot datasets with reliable ICC and reliability estimates. No mitigation measures are provided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