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mechanistic_6thio_dg_telomerase</w:t>
      </w:r>
    </w:p>
    <w:p>
      <w:r>
        <w:t xml:space="preserve"> </w:t>
      </w:r>
    </w:p>
    <w:p>
      <w:pPr>
        <w:pStyle w:val="Heading2"/>
      </w:pPr>
      <w:r>
        <w:t>Title</w:t>
      </w:r>
    </w:p>
    <w:p>
      <w:r>
        <w:t>Biochemical and cellular dissection of 6-thio-2'-deoxyguanosine effects on telomerase activity and telomere maintenance in cancer</w:t>
      </w:r>
    </w:p>
    <w:p>
      <w:r>
        <w:t xml:space="preserve"> </w:t>
      </w:r>
    </w:p>
    <w:p>
      <w:pPr>
        <w:pStyle w:val="Heading2"/>
      </w:pPr>
      <w:r>
        <w:t>Short Hypothesis</w:t>
      </w:r>
    </w:p>
    <w:p>
      <w:r>
        <w:t>In telomerase-positive cancer cells, intracellular 6-thio-dGTP incorporation by telomerase causes a dose-dependent reduction in telomerase catalytic efficiency and produces telomere dysfunction that lowers cell proliferation; this effect is primarily due to direct substrate incorporation rather than disruption of telomerase binding.</w:t>
      </w:r>
    </w:p>
    <w:p>
      <w:r>
        <w:t xml:space="preserve"> </w:t>
      </w:r>
    </w:p>
    <w:p>
      <w:pPr>
        <w:pStyle w:val="Heading2"/>
      </w:pPr>
      <w:r>
        <w:t>Related Work</w:t>
      </w:r>
    </w:p>
    <w:p>
      <w:r>
        <w:t>Prior work reports that 6-thio-dG shows anti-tumor activity by targeting telomeres and that prodrug forms (ProTides) can improve cellular delivery. Existing studies established in vivo efficacy and basic safety testing and used modeling to guide exposure, but they leave mechanistic gaps. Key limitations: (1) insufficient direct biochemical kinetic data using authentic 6-thio-dGTP to quantify Km/kcat or processivity changes in purified human telomerase; (2) unclear whether effects arise from incorporation into telomeric DNA versus altered telomerase binding or allostery; (3) incomplete transporter and salvage-kinase redundancy mapping that would predict when ProTides are needed; (4) limited polymerase selectivity panels (nuclear and mitochondrial polymerases) to rule out off-target incorporation and mitochondrial toxicity; (5) bioanalytical methods and LLOQ targets for triphosphates and oxidized impurities are not standardized. These gaps prevent confident translation and rational prodrug redesign.</w:t>
      </w:r>
    </w:p>
    <w:p>
      <w:r>
        <w:t xml:space="preserve"> </w:t>
      </w:r>
    </w:p>
    <w:p>
      <w:pPr>
        <w:pStyle w:val="Heading2"/>
      </w:pPr>
      <w:r>
        <w:t>Abstract</w:t>
      </w:r>
    </w:p>
    <w:p>
      <w:r>
        <w:t>This study addresses whether 6-thio-2'-deoxyguanosine (6-thio-dG) acts on cancer telomeres by direct incorporation of its triphosphate metabolite into telomeric DNA via telomerase or by altering telomerase binding. We combine purified telomerase enzymology, cellular metabolite quantification, transporter/kinase genetics, polymerase selectivity assays, and murine tumor models to assign mechanism, exposure thresholds, and off-target risks. Main contributions are (1) precise kinetic parameters (Km, kcat, processivity) for 6-thio-dGTP with human telomerase, (2) a quantitative mapping of intracellular triphosphate levels (LLOQ ~1 nM) to telomere dysfunction and tumor response, and (3) a polymerase selectivity profile including POLγ (mitochondrial polymerase) and major nuclear polymerases. Expected outcomes are a mechanistic determination (incorporation vs binding), evidence-based intracellular EC50 for telomerase functional effect, and clear decision criteria for ProTide use and safety margins. Results will enable rational prodrug design and translational exposure targets for early clinical development.</w:t>
      </w:r>
    </w:p>
    <w:p>
      <w:r>
        <w:t xml:space="preserve"> </w:t>
      </w:r>
    </w:p>
    <w:p>
      <w:pPr>
        <w:pStyle w:val="Heading2"/>
      </w:pPr>
      <w:r>
        <w:t>Experiments</w:t>
      </w:r>
    </w:p>
    <w:p>
      <w:r>
        <w:t>Datasets: in vitro purified human telomerase RNP preparations (recombinant hTERT + hTR), panels of cell lines: telomerase-positive cancer (HeLa, HCT116, A549, MCF7), ALT line (Saos-2), normal primary human dermal fibroblasts, primary human CD34+ hematopoietic cells; mouse xenograft models (HCT116, HeLa) and one patient-derived xenograft (PDX). Baselines: vehicle, parent 6-thio-dG, ProTide variant, and known telomerase inhibitor control when available. Biochemical assays: primer-extension Michaelis-Menten kinetic assays with authentic 6-thio-dGTP to derive Km and kcat (triplicates, ≥3 independent enzyme preps); processivity measured by repeat length distributions (gel or capillary electrophoresis). Define telomerase biochemical EC50 as intracellular-equivalent triphosphate concentration that reduces repeat addition rate by 50% (use calibration from kinetics). Cellular assays: measure intracellular mono/di/tri-phosphates by LC-MS/MS with 13C/15N internal standards (LLOQ target 1 nM) at timepoints 0.5, 2, 6, 24 h after dosing; TRAP assay adaptation (telomeric repeat amplification protocol; a PCR-based telomerase activity assay) for cell extracts. Telomere readouts: IF-FISH for telomere dysfunction foci (γ-H2AX and 53BP1 colocalized with telomere FISH), STELA (single telomere length analysis) for short telomere detection, and quantitative telomere FISH for length distribution. Transporter/kinase experiments: CRISPR KOs for ENT1, ENT2, CNTs, TK1, TK2; uptake kinetics Km/Vmax by radiolabeled or labeled compound; ProTide rescue experiments in same lines. Polymerase selectivity: biochemical IC50 panel with recombinant human POLγ (mitochondrial), pol α, δ, ε (nuclear replication polymerases), and repair polymerases β, η, θ; measure misincorporation and extension ability. Mitochondrial function: mtDNA copy number by qPCR, Seahorse OCR (oxygen consumption rate), membrane potential (TMRM/JC-1). In vivo: dosing arms (vehicle, parent, ProTide) n=10 mice/group for efficacy to detect ≥50% tumor growth inhibition with 80% power (alpha=0.05); tumor TP and plasma sampled at peak and trough for LC-MS/MS; PD sampling for IF-FISH at 24 h, 72 h, day 7, day 21. Genotoxicity cellular: in vitro micronucleus assay and comet assay in treated cells (n≥4 biological replicates). Evaluation metrics: biochemical Km, kcat, processivity change; telomerase IC50 (cellular and biochemical); intracellular TP EC50 (nM); telomere dysfunction foci per cell; telomere length change (median bp); mtDNA % change; POLγ IC50 (μM); tumor growth inhibition (TGI %). Statistical tests: nonlinear regression for kinetics with 95% CI, ANOVA + Dunnett for multi-group comparisons, mixed-effects model for tumor growth (repeated measures), power calculations reported. Comparison/ablation studies: (A) parent vs ProTide across all readouts; (B) transporter KO vs WT ± ProTide to test uptake redundancy; (C) polymerase panel to ablate off-target incorporation hypothesis. Replicates and QC: biochemical assays ≥3 independent preps × technical triplicates; cellular assays ≥3 independent experiments; blinding and randomized group assignment for in vivo studies.</w:t>
      </w:r>
    </w:p>
    <w:p>
      <w:r>
        <w:t xml:space="preserve"> </w:t>
      </w:r>
    </w:p>
    <w:p>
      <w:pPr>
        <w:pStyle w:val="Heading2"/>
      </w:pPr>
      <w:r>
        <w:t>Risk Factors And Limitations</w:t>
      </w:r>
    </w:p>
    <w:p>
      <w:r>
        <w:t>Technical failure modes: inability to obtain consistently active purified human telomerase (enzyme instability), or failure of LC-MS/MS to reach LLOQ ~1 nM for triphosphates. Assay limitations: TRAP and primer-extension may differ in sensitivity; STELA (single telomere length analysis) is low-throughput and may limit sample numbers. Genetic redundancy: CRISPR KOs may trigger compensatory transporter expression masking uptake roles. Species translation: mouse metabolism and transporter expression may not match human, limiting PBPK extrapolation. Off-target risk: unexpected incorporation by POLγ or other polymerases could cause mitochondrial toxicity not predicted by in vitro IC50s. Statistical and power limits: tumor heterogeneity can inflate variance and reduce power for TGI and telomere attrition endpoints. Scalability/chemistry: ProTide synthesis scale-up or impurity control (oxidized sulfur detection) may constrain material supply. Generalization limits: results from selected cell lines and one PDX may not generalize across tumor types or low-telomerase cancers. Data bias: selection of cell lines or assay timepoints could bias EC50 estimation toward short-term effects and miss long-term telomere attrition kinetics.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