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osa_phenotype_carepath_predict</w:t>
      </w:r>
    </w:p>
    <w:p>
      <w:r>
        <w:t xml:space="preserve"> </w:t>
      </w:r>
    </w:p>
    <w:p>
      <w:pPr>
        <w:pStyle w:val="Heading2"/>
      </w:pPr>
      <w:r>
        <w:t>Title</w:t>
      </w:r>
    </w:p>
    <w:p>
      <w:r>
        <w:t>Multimodal phenotype-driven predictive modeling of treatment allocation and CPAP adherence in obstructive sleep apnea</w:t>
      </w:r>
    </w:p>
    <w:p>
      <w:r>
        <w:t xml:space="preserve"> </w:t>
      </w:r>
    </w:p>
    <w:p>
      <w:pPr>
        <w:pStyle w:val="Heading2"/>
      </w:pPr>
      <w:r>
        <w:t>Short Hypothesis</w:t>
      </w:r>
    </w:p>
    <w:p>
      <w:r>
        <w:t>Adding standardized physiologic phenotype measures (collapsibility, loop gain, arousal threshold, muscle responsiveness) to models that use demographics and AHI will increase discrimination (area under the ROC curve) for predicting 3-month CPAP adherence by at least 0.10.</w:t>
      </w:r>
    </w:p>
    <w:p>
      <w:r>
        <w:t xml:space="preserve"> </w:t>
      </w:r>
    </w:p>
    <w:p>
      <w:pPr>
        <w:pStyle w:val="Heading2"/>
      </w:pPr>
      <w:r>
        <w:t>Related Work</w:t>
      </w:r>
    </w:p>
    <w:p>
      <w:r>
        <w:t>Multicenter OSA studies and clinical pathways have improved diagnostic workflows and standardized procedural steps (e.g., DISE reporting, HSAT minimums), and large clinical trials have tested CPAP effects on cardiovascular outcomes. Prior predictive approaches mainly use demographics, AHI (apnea–hypopnea index, a measure of severity), comorbidities, and basic device telemetry to predict adherence or outcomes. Physiologic modeling work (loop gain, collapsibility) exists but is often single-center, uses heterogeneous measurement protocols, or requires invasive calibration; DISE evidence is descriptive and not routinely integrated into predictive pipelines. Economic analyses model costs and adherence but rarely incorporate physiologic traits. Limitations in prior work: lack of standardized, multicenter noninvasive phenotype measurement; weak external validation; few models that combine DISE, physiology, HSAT signal features, and prescriptions; potential confounding by indication in treatment allocation; and limited attention to equity and device heterogeneity.</w:t>
      </w:r>
    </w:p>
    <w:p>
      <w:r>
        <w:t xml:space="preserve"> </w:t>
      </w:r>
    </w:p>
    <w:p>
      <w:pPr>
        <w:pStyle w:val="Heading2"/>
      </w:pPr>
      <w:r>
        <w:t>Abstract</w:t>
      </w:r>
    </w:p>
    <w:p>
      <w:r>
        <w:t>Care for obstructive sleep apnea (OSA) varies widely and many patients prescribed continuous positive airway pressure (CPAP) do not achieve sustained adherence. We propose a reproducible, multicenter study to test whether adding standardized physiologic phenotyping (measures of collapsibility, loop gain, arousal threshold, and muscle responsiveness), DISE-derived obstruction patterns, HSAT/PSG signal features, and EHR data improves prediction of treatment allocation (CPAP, mandibular advancement device, surgery) and 3-month CPAP adherence. We will build predictive models on a large multisite cohort (~10,000 patients) and validate physiologic estimators in a 200-patient subcohort with 40 invasive calibrations. Methods include site-stratified training, external validation on held-out sites, and comparison to baseline models using demographics and AHI. Main contribution is a validated measurement-to-model pipeline and empirical quantification of incremental predictive value from phenotype data. Expected outcomes are improved discrimination and calibration for adherence prediction, validated noninvasive trait estimates against gold standards, and a phenotype–treatment map to inform care pathways, trial design, and economic modeling aimed at better matching patients to effective therapies.</w:t>
      </w:r>
    </w:p>
    <w:p>
      <w:r>
        <w:t xml:space="preserve"> </w:t>
      </w:r>
    </w:p>
    <w:p>
      <w:pPr>
        <w:pStyle w:val="Heading2"/>
      </w:pPr>
      <w:r>
        <w:t>Experiments</w:t>
      </w:r>
    </w:p>
    <w:p>
      <w:r>
        <w:t>Datasets: multicenter EHR + sleep testing cohort of approximately 10,000 adults with OSA diagnosis, HSAT or PSG signals, DISE reports where available, prescriptions for CPAP/MAD/surgery, and 3-month adherence telemetry; validation subcohort n=200 with paired noninvasive phenotype measures and gold-standard invasive calibration in n=40. Baselines: (A) demographics + AHI; (B) demographics + AHI + comorbidities; (C) B + device telemetry features. Proposed models: logistic regression with L2 regularization, random forest, and gradient boosting (XGBoost) for binary outcomes; multinomial logistic regression and gradient boosting for treatment allocation (multiclass); Cox or flexible parametric survival model for time-to-nonadherence (C-index reported). Primary outcome: CPAP adherence at 3 months defined as &gt;=4 hours/night on &gt;=70% nights (device-logged). Secondary outcomes: treatment allocation prediction (CPAP vs MAD vs surgery), calibration (Brier score), decision-curve net benefit. Evaluation metrics: AUC (ROC), DeLong test for AUC differences, 95% bootstrap CIs (n=1,000), calibration plots, Brier score, sensitivity, specificity, PPV/NPV, macro F1 for multiclass. Validation: site-stratified nested cross-validation (outer folds by site), final external validation on held-out sites. Ablations: remove all phenotype traits; remove DISE features; remove each phenotype trait singly to assess marginal contribution (feature ablation). Additional analyses: compare noninvasive phenotype estimates to invasive gold standard in n=40 (mean bias, limits of agreement, intraclass correlation coefficient ICC), and perform decision impact analysis: use predictive model to simulate reclassification of treatment allocation and report changes in predicted adherence and downstream modeled MACE incidence in a microsimulation (5- and 10-year horizons, discount 3%) as exploratory output. Statistical significance: two-sided alpha=0.05; multiple comparisons addressed by False Discovery Rate for exploratory tests.</w:t>
      </w:r>
    </w:p>
    <w:p>
      <w:r>
        <w:t xml:space="preserve"> </w:t>
      </w:r>
    </w:p>
    <w:p>
      <w:pPr>
        <w:pStyle w:val="Heading2"/>
      </w:pPr>
      <w:r>
        <w:t>Risk Factors And Limitations</w:t>
      </w:r>
    </w:p>
    <w:p>
      <w:r>
        <w:t>HSAT and PSG signal quality variability and missing channels may reduce feature reliability; device heterogeneity (different manufacturers, sampling rates) can introduce systematic measurement bias. Noninvasive phenotype estimators may fail to match invasive gold standards for some traits (measurement bias or low ICC), limiting trust in trait-based decisions. Confounding by indication: observed treatment allocation may reflect clinician preference rather than underlying physiology, complicating causal interpretation. Selection bias: multicenter cohorts may underrepresent underserved populations, limiting generalization. DISE availability is uneven and sedation protocol differences may change VOTE classifications (DISE is drug-induced sleep endoscopy; VOTE is a collapse-site scoring system). Computational limits: processing raw signals at scale requires storage and compute resources and may be slow. Regulatory and privacy constraints (DUAs, IRB) may delay access to raw signals and linkage across sites. Economic simulation outputs depend on uncertain inputs (event rates, adherence effects) and may have wide uncertainty. Results may not generalize to pediatric patients or to regions with different care structures.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