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region_based_xai_neonatal_pain</w:t>
      </w:r>
    </w:p>
    <w:p>
      <w:r>
        <w:t xml:space="preserve"> </w:t>
      </w:r>
    </w:p>
    <w:p>
      <w:pPr>
        <w:pStyle w:val="Heading2"/>
      </w:pPr>
      <w:r>
        <w:t>Title</w:t>
      </w:r>
    </w:p>
    <w:p>
      <w:r>
        <w:t>Region-based explainability with joint robustness, faithfulness, and agreement evaluation for automatic neonatal pain assessment</w:t>
      </w:r>
    </w:p>
    <w:p>
      <w:r>
        <w:t xml:space="preserve"> </w:t>
      </w:r>
    </w:p>
    <w:p>
      <w:pPr>
        <w:pStyle w:val="Heading2"/>
      </w:pPr>
      <w:r>
        <w:t>Short Hypothesis</w:t>
      </w:r>
    </w:p>
    <w:p>
      <w:r>
        <w:t>A region-supervised explainability framework combined with a joint evaluation of robustness, faithfulness, and agreement will reduce clinically meaningful human–machine action-discordance in automatic neonatal pain classification by at least 10 percentage points compared to standard pixel-wise saliency explanations.</w:t>
      </w:r>
    </w:p>
    <w:p>
      <w:r>
        <w:t xml:space="preserve"> </w:t>
      </w:r>
    </w:p>
    <w:p>
      <w:pPr>
        <w:pStyle w:val="Heading2"/>
      </w:pPr>
      <w:r>
        <w:t>Related Work</w:t>
      </w:r>
    </w:p>
    <w:p>
      <w:r>
        <w:t>Existing approaches generate visual explanations for medical image and video classifiers using pixel-level saliency methods (e.g., Grad-CAM, integrated gradients) or relevance propagation (LRP). Other lines use concept-based explanations that map model signals to human concepts. Fidelity and robustness are typically measured with pixel-wise metrics such as IoU (intersection-over-union), deletion/insertion tests (removing or adding pixels and measuring prediction change), and simple perturbation tests. Limitations are: pixel-level metrics ignore clinically meaningful anatomical regions and temporal dynamics; saliency maps are often unstable over time (temporal inconsistency) and poorly calibrated (confidence in attributions is not quantified); counterfactual or causal checks are rarely region-scoped; clinical agreement (whether explanations align with clinician-identified regions) is seldom jointly evaluated with robustness and faithfulness; NICU-specific perturbations and fairness across neonatal skin-tone and gestational age are under-addressed. (Grad-CAM is a heatmap method; IoU is a measure of overlap; deletion/insertion tests check if removing pixels changes model output.)</w:t>
      </w:r>
    </w:p>
    <w:p>
      <w:r>
        <w:t xml:space="preserve"> </w:t>
      </w:r>
    </w:p>
    <w:p>
      <w:pPr>
        <w:pStyle w:val="Heading2"/>
      </w:pPr>
      <w:r>
        <w:t>Abstract</w:t>
      </w:r>
    </w:p>
    <w:p>
      <w:r>
        <w:t>Automatic neonatal pain assessment models often produce pixel-level explanations that are unstable, uncalibrated, and misaligned with clinician reasoning. We propose a region-based explainability framework that trains models with auxiliary region supervision (region-supervised loss) and evaluates explainers using a joint protocol that measures robustness (stability under clinically plausible perturbations), faithfulness (causal effect of regions via ablation), and agreement (overlap with clinician-marked regions and clinical decision thresholds). Main contributions are: (1) a region-level attribution pipeline that outputs normalized importance per clinical region and ensemble-derived confidence intervals, (2) a set of region-aware fidelity metrics including temporal coherence and local average causal effect (LACE) from region ablations, and (3) a pre-registered evaluation including HCI testing to measure effect on clinician-model action-discordance. Expected outcome: region-based explanations with quantified uncertainty that are more temporally stable, more causally linked to predictions, and that reduce clinically meaningful discordance between clinicians and models, enabling safer translation into NICU workflows.</w:t>
      </w:r>
    </w:p>
    <w:p>
      <w:r>
        <w:t xml:space="preserve"> </w:t>
      </w:r>
    </w:p>
    <w:p>
      <w:pPr>
        <w:pStyle w:val="Heading2"/>
      </w:pPr>
      <w:r>
        <w:t>Experiments</w:t>
      </w:r>
    </w:p>
    <w:p>
      <w:r>
        <w:t>Datasets: primary dataset of ~1,000 annotated 5–10 s video windows stratified by gestational-age (GA: &lt;28w, 28–36w, ≥37w) and neonatal skin-tone bins; external site holdout with ≥200 windows for external validation. Annotation: frame-wise region masks for eyes, brow, mouth, nasolabial, limbs with annotator confidence; consensus masks via time-weighted averaging (exponential decay centered on marked peak) and STAPLE/majority voting. Baselines: (A) standard saliency explanations (Grad-CAM) from the same classifier, (B) model trained without region supervision, (C) region-supervised model without ensemble uncertainty. Proposed models: region-supervised model with ensemble (3–5 members) and attribution CI. Training/setup: identical train/validation/test splits; fixed random seed=42; ensembles of 3 and 5 members; optimization and augmentation held constant. Evaluation metrics: primary: action-discordance rate (model vs clinician crossing PIPP/PIPP-R thresholds: none/mild 0–6, moderate 7–12, severe &gt;12) and weighted Cohen’s kappa for categorical agreement; secondary: sensitivity/specificity for moderate/severe pain, ECE (expected calibration error) for predictive calibration, attribution metrics: top-k coverage (k=1,3) where overlap defined as IoU≥0.30, temporal attribution coherence defined as mean cosine similarity between adjacent frame region vectors, attribution CI width (percent of mean), LACE (local average causal effect) per region from ablations, and group-wise fairness metrics (difference in sensitivity/action-discordance across GA and skin-tone). Robustness tests: apply clinical perturbation suite (occlusions 1–3 cm, luminance ±30%, color-temp shifts 2000–8000K, motion blur 0.1–0.5s, physiologic signal noise) and plot robustness curves. Ablation/causal protocol: for each target region run three interventions: (1) occlusion with neutral patch, (2) context-aware inpainting, (3) contextual replacement from same-video non-salient patch; compute LACE = E[Y|do(ablated)]−E[Y|do(original)] with bootstrap 10,000 resamples stratified by site. Statistical tests: mixed-effects ordinal logistic regression for primary endpoints with random intercepts for infant and clinician; control familywise error for primaries with Holm step-down; exploratory XAI tests controlled by Benjamini–Hochberg FDR. HCI study: within-subject design with 24–36 clinicians each rating 40–60 cases across explanation modalities (heatmap, region scores, uncertainty overlay); primary behavioral outcome: change in action-discordance; secondary: decision latency and trust (validated scales). Ablation studies: vary region-supervision weight α ∈ {0,0.25,0.5,1.0}; compare ablation methods (occlusion/inpainting/contextual) for LACE stability; sensitivity analyses for thresholds: IoU ∈ {0.2,0.3,0.4}, CI width cutoffs ∈ {30%,50%,75%}, predictive probability thresholds ∈ {0.60,0.70,0.80}. Reproducibility: all experiments use seed=42, bootstrap resamples=10,000, and pre-registered analysis scripts.</w:t>
      </w:r>
    </w:p>
    <w:p>
      <w:r>
        <w:t xml:space="preserve"> </w:t>
      </w:r>
    </w:p>
    <w:p>
      <w:pPr>
        <w:pStyle w:val="Heading2"/>
      </w:pPr>
      <w:r>
        <w:t>Risk Factors And Limitations</w:t>
      </w:r>
    </w:p>
    <w:p>
      <w:r>
        <w:t>Ablation interventions (occlusion, inpainting, contextual replacement) can introduce distributional artifacts that change model behavior for reasons unrelated to the true causal role of the region; causal interpretation of LACE requires strong assumptions (exchangeability, consistency, no interference) that may not hold with repeated windows per infant. Annotation variability and low inter-rater agreement will reduce valid training data and bias consensus masks. Small subgroup sizes (rare skin-tone/GA bins) limit power for fairness analyses. Ensembles and heavy bootstrap (10,000 resamples) increase compute cost and slow iteration. Predictive and attribution calibration may not generalize to unseen sites; domain shift may invalidate thresholds pre-registered on development data. De-identification and privacy constraints limit public data release and may reduce reproducibility; differential privacy (DP) measures degrade model utility when enforced. HCI results from simulated tasks may not predict real-world clinician behavior. Finally, numeric thresholds (IoU≥0.30, CI width &gt;50%, probability &lt;0.70, Δ≥3 PIPP points) are operational choices that may require revision after pilot data and therefore may not be universally optimal.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