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mitoribosome_crispr_screen</w:t>
      </w:r>
    </w:p>
    <w:p>
      <w:r>
        <w:t xml:space="preserve"> </w:t>
      </w:r>
    </w:p>
    <w:p>
      <w:pPr>
        <w:pStyle w:val="Heading2"/>
      </w:pPr>
      <w:r>
        <w:t>Title</w:t>
      </w:r>
    </w:p>
    <w:p>
      <w:r>
        <w:t>Genome-wide CRISPR/Cas9 knockout screening with mitoribosome inhibition to identify pathways that support cell survival when mitochondrial protein synthesis is impaired</w:t>
      </w:r>
    </w:p>
    <w:p>
      <w:r>
        <w:t xml:space="preserve"> </w:t>
      </w:r>
    </w:p>
    <w:p>
      <w:pPr>
        <w:pStyle w:val="Heading2"/>
      </w:pPr>
      <w:r>
        <w:t>Short Hypothesis</w:t>
      </w:r>
    </w:p>
    <w:p>
      <w:r>
        <w:t>Knockout of specific nuclear genes increases cell survival under pharmacological inhibition of mitochondrial ribosomes compared with non-targeting controls.</w:t>
      </w:r>
    </w:p>
    <w:p>
      <w:r>
        <w:t xml:space="preserve"> </w:t>
      </w:r>
    </w:p>
    <w:p>
      <w:pPr>
        <w:pStyle w:val="Heading2"/>
      </w:pPr>
      <w:r>
        <w:t>Related Work</w:t>
      </w:r>
    </w:p>
    <w:p>
      <w:r>
        <w:t>Prior studies have applied genome-wide CRISPR/Cas9 knockout screens to probe mitochondrial vulnerabilities and to map modifiers of oxidative metabolism. These approaches revealed mitochondrial electron-transport and translation components as critical modulators of fitness. Common limitations remain: (1) copy-number variation (CNV) in cell lines can bias effect estimates, (2) insufficient gDNA/UMI handling and PCR splitting create guide dropout and amplification bias, (3) many screens lack longitudinal mtDNA monitoring (copy number and heteroplasmy) so mtDNA dynamics confound hits, (4) drug specificity for mitochondrial translation versus cytosolic translation is not always rigorously validated, and (5) validation pipelines often use single sgRNAs or lack orthogonal rescue tests, reducing reproducibility. These weaknesses reduce confidence in candidate modifiers and limit mechanistic follow-up.</w:t>
      </w:r>
    </w:p>
    <w:p>
      <w:r>
        <w:t xml:space="preserve"> </w:t>
      </w:r>
    </w:p>
    <w:p>
      <w:pPr>
        <w:pStyle w:val="Heading2"/>
      </w:pPr>
      <w:r>
        <w:t>Abstract</w:t>
      </w:r>
    </w:p>
    <w:p>
      <w:r>
        <w:t>We address how cells survive when mitochondrial protein synthesis is disrupted by combining genome-wide CRISPR/Cas9 knockout screening with pharmacological inhibition of the mitochondrial ribosome. We will apply pooled CRISPR knockout libraries in two metabolic contexts (an oxidative and a glycolytic human cell line), expose cells to validated mitoribosome inhibitors at sublethal concentrations, and track guide abundance across early and adaptive timepoints. The main contribution is an end-to-end, reproducible pipeline that integrates UMI-aware sequencing, CNV-aware statistical models, longitudinal mtDNA measurements, and a pre-specified validation hierarchy (multiple sgRNAs, orthogonal knockdown, and cDNA rescue). Expected outcomes are a prioritized, reproducible set of nuclear genes and pathways whose loss improves or worsens fitness under impaired mitochondrial translation, plus containerized analysis code, SOPs, and QC criteria enabling independent reuse. Results will enable mechanistic studies of mitochondrial quality control and metabolic adaptation under translation stress.</w:t>
      </w:r>
    </w:p>
    <w:p>
      <w:r>
        <w:t xml:space="preserve"> </w:t>
      </w:r>
    </w:p>
    <w:p>
      <w:pPr>
        <w:pStyle w:val="Heading2"/>
      </w:pPr>
      <w:r>
        <w:t>Experiments</w:t>
      </w:r>
    </w:p>
    <w:p>
      <w:r>
        <w:t>Datasets: Brunello genome-wide human knockout library (~77k guides); two cell lines: one oxidative (e.g., A549 or RPE1-hTERT) and one glycolytic (e.g., K562); validation models: one non-transformed or primary-like line. Treatments: vehicle, chloramphenicol, linezolid at IC20–30 (mitochondrial translation inhibited, cytosolic translation intact). Timepoints: T0 (post-selection), 48–72 h, T7, T14, T21. Wet assays: mito-translation measured by 35S-methionine and AHA click-labeling with cytosolic blockade (cycloheximide/emetine); cytosolic translation by SUnSET puromycin assay; mtDNA copy number by qPCR/ddPCR; heteroplasmy by long-range mtDNA PCR + NGS. Library prep: MOI ~0.3, gDNA input ≥150 µg/sample, split into ~75–150 PCR1 reactions (~1–2 µg each), inline 8–12 nt UMI + 0–8 nt stagger, PCR1 10–14 cycles (qPCR-guided), PCR2 6–8 cycles, target 30–40M reads/sample. Baselines: non-targeting guides, essential gene controls, mitochondrial-translation positive controls (e.g., MRPL3). Analysis: produce UMI-deduplicated counts (UMI-tools directional adjacency, edit distance=1), filter guides with T0 dedup counts &lt;30–50, map guides (Bowtie), compute gene-level effects with MAGeCK-MLE (primary) plus JACKS and edgeR/limma-voom (secondary); include covariates: batch, replicate, plate, sequencing lane, cell line, treatment, gDNA input; apply CNV correction (CERES or CERES-like) in parallel. Hit criteria: FDR ≤0.05 and |LFC| ≥0.5, prioritized |LFC| ≥1. Validation: top 20–50 genes tested with 3 independent sgRNAs each (require ≥2/3 reproducible), orthogonal knockdown (CRISPRi or siRNA), and rescue with sgRNA-resistant cDNA restoring ≥50% phenotype. Ablations/comparisons: (A) analysis with vs without CNV correction, (B) dedup settings (no UMI dedup vs edit distance 1 vs stricter), (C) 3 vs 4 biological replicates and 300× vs 500× coverage, (D) chloramphenicol vs linezolid. Evaluation metrics: gene-level log2 fold-change (LFC), MAGeCK-MLE p-value and FDR, guide-level variance, replicate Pearson/Spearman correlation, Gini index, fraction zero-count guides, UMI duplication rate, validation reproducibility rate (fraction of genes passing 2/3 sgRNA and rescue gates), and pathway enrichment consistency.</w:t>
      </w:r>
    </w:p>
    <w:p>
      <w:r>
        <w:t xml:space="preserve"> </w:t>
      </w:r>
    </w:p>
    <w:p>
      <w:pPr>
        <w:pStyle w:val="Heading2"/>
      </w:pPr>
      <w:r>
        <w:t>Risk Factors And Limitations</w:t>
      </w:r>
    </w:p>
    <w:p>
      <w:r>
        <w:t>Technical failure modes: incorrect drug dosing causing cytosolic translation suppression, poor drug stability, or incomplete mito-translation inhibition leading to false negatives. Library prep risks: low gDNA yield, PCR jackpotting, UMI collisions (two molecules sharing same UMI), and index hopping causing cross-sample contamination. Computational risks: CNV-driven false positives if correction fails, deduplication choices altering counts and hit lists, and insufficient pilot dispersion leading to underpowered designs. Biological biases: mtDNA copy-number or heteroplasmy drift across timepoints that confounds effects; cell-line specific physiology limiting generalizability; essential genes producing toxicity that masks adaptive modifiers. Validation limits: rescue overexpression artifacts if cDNA expression exceeds physiological range, or off-target effects from guides not detected by prediction. Scalability: high gDNA and deep sequencing requirements increase cost and limit throughput. Reproducibility constraints: many tunable parameters (UMI handling, PCR cycles, covariates) require precise documentation for independent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