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thai_mst_glim_validation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Validation and reliability assessment of a Thai-translated Malnutrition Screening Tool against GLIM criteria using bioelectrical impedance analysis in outpatient tertiary care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 Thai adult outpatients, the Thai-translated Malnutrition Screening Tool (TT-MST) will detect GLIM-defined malnutrition with sensitivity ≥80% and specificity ≥70% compared with the GLIM reference standard.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includes validation studies of the original Malnutrition Screening Tool (MST) and translations into several languages, studies using the Mini Nutritional Assessment - Short Form (MNA-SF) as a screening comparator, and recent applications of the Global Leadership Initiative on Malnutrition (GLIM) consensus as a diagnostic reference. Limitations in prior work: most validations occurred in inpatient or mixed samples rather than outpatient clinics; few studies incorporated direct muscle-mass measures like bioelectrical impedance analysis (BIA) with harmonized device calibration; translations often lacked thorough cognitive debriefing and differential item functioning (DIF) checks across literacy or dialect groups; many studies did not pre-specify deterministic GLIM decision rules, CRP (inflammation) cutoffs, or MNAR (missing not at random) sensitivity analyses; sample sizes were often small, limiting precision of sensitivity/specificity estimates; and inter-rater/test–retest reliability subsamples were frequently underpowered. These gaps leave uncertainty about MST performance in Thai outpatient settings and about robustness when muscle or inflammation data are missing.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evaluate the validity and reliability of a Thai-translated Malnutrition Screening Tool (TT-MST) in tertiary outpatient clinics by comparing it to the GLIM diagnostic standard (which requires a phenotypic criterion and an etiologic criterion). The study translates the MST using a documented cross-cultural workflow, deploys the TT-MST in a cross-sectional outpatient sample, and measures muscle mass with bioelectrical impedance analysis (BIA) alongside calf circumference and handgrip. Primary contribution: a preregistered, reproducible assessment of TT-MST diagnostic accuracy (sensitivity, specificity, ROC-AUC) against GLIM and a head-to-head comparison with MNA-SF, plus reliability (inter-rater/test–retest) and internal consistency estimates. Secondary contributions: evaluation of measurement equivalence (DIF) by age, sex, and education, and sensitivity analyses for missing inflammation (CRP) and indeterminate GLIM classifications. Expected outcome: clear, reproducible estimates of TT-MST performance and practical guidance on its use for outpatient malnutrition screening in Thailand.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Dataset: cross-sectional sample of 248 adult outpatients from tertiary-care clinics; reliability subsamples: inter-rater n≈100 paired same-visit TT-MST ratings and test–retest n≈100 (48–72 h, clinically stable). Reference standard: GLIM criteria, requiring ≥1 phenotypic (weight loss ≥5% in 6 months or ≥10% beyond 6 months; BMI &lt;18.5 kg/m2 if age &lt;70 or &lt;20 kg/m2 if ≥70; reduced muscle mass by BIA ALMI, calf circumference, or anthropometry) AND ≥1 etiologic (reduced intake or inflammation CRP&gt;5 mg/L). Baselines: MNA-SF total score and GLIM outcome. Measurements: TT-MST total score, BIA-derived ALMI (device/model recorded), calf circumference, handgrip strength (dynamometer model recorded), CRP (mg/L, assay metadata). Primary diagnostic metric: sensitivity of TT-MST at prespecified cutoff (TT-MST ≥2) versus GLIM-positive, with specificity secondary; AUC is co-secondary. Statistical methods: compute Se/Sp/PPV/NPV and likelihood ratios with cluster-robust CIs using clustered bootstrap (site-level resampling, 2000 replicates, seed=12345); compare AUCs via DeLong with paired clustered bootstrap. Missing data: multiple imputation by chained equations (MICE) m=20 using multilevel imputation to preserve site clustering; report complete-case and imputed results. Indeterminate GLIM handling: (a) exclude, (b) classify as negative, (c) classify as positive, (d) MI-based. Reliability: Cohen's kappa for categorical TT-MST classification, ICC for continuous repeated scores, Cronbach's alpha for internal consistency; compute SEM and MDC (minimal detectable change). Ablation/comparisons: (1) BIA vs calf circumference as muscle input (report change in Se/Sp/AUC), (2) CRP cutoffs sensitivity at 3 and 10 mg/L, (3) effect of using MNA-SF vs TT-MST as screening tool. DIF analysis: Mantel-Haenszel and ordinal logistic regression by age group, sex, and education; flag items with effect sizes above prespecified thresholds. Calibration sub-study: cross-calibration of multiple BIA models (n≈50) to derive conversion equations if required. Report all analysis code, software versions, and random seeds in a versioned repository.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Sample size and precision: N=248 may limit confidence interval width for sensitivity/specificity and subgroup analyses. Setting bias: tertiary outpatient population may not generalize to primary care or community settings. Missing data: CRP or BIA may be unavailable for some patients; missing not at random (MNAR) patterns can bias GLIM classification (MNAR = missingness related to unobserved values). Device heterogeneity: using different BIA models can introduce measurement bias if cross-calibration is imperfect. Measurement error: inconsistent tape placement for calf circumference or variable dynamometer technique affects muscle measures. Translation/DIF: residual differential item functioning across dialects or literacy groups could bias TT-MST responses. Operationalization limits: prespecified cutoffs (BMI, weight loss, CRP, handgrip) may not perfectly match Thai population norms. Statistical complexity: cluster-aware inference, multilevel imputation, and MNAR sensitivity models increase analytic complexity and risk of implementation errors. Ethical/clinical implications: incidental abnormal CRP or other findings may require clinical follow-up and affect participation rates.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