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ws_pixel_annotation_xgradcam</w:t>
      </w:r>
    </w:p>
    <w:p>
      <w:r>
        <w:t xml:space="preserve"> </w:t>
      </w:r>
    </w:p>
    <w:p>
      <w:pPr>
        <w:pStyle w:val="Heading2"/>
      </w:pPr>
      <w:r>
        <w:t>Title</w:t>
      </w:r>
    </w:p>
    <w:p>
      <w:r>
        <w:t>Ensemble-guided weakly supervised pixel-level annotation using XGrad-CAM explanations and Monte Carlo dropout uncertainty for image segmentation</w:t>
      </w:r>
    </w:p>
    <w:p>
      <w:r>
        <w:t xml:space="preserve"> </w:t>
      </w:r>
    </w:p>
    <w:p>
      <w:pPr>
        <w:pStyle w:val="Heading2"/>
      </w:pPr>
      <w:r>
        <w:t>Short Hypothesis</w:t>
      </w:r>
    </w:p>
    <w:p>
      <w:r>
        <w:t>Intersecting high-confidence saliency regions from an ensemble of pre-trained backbones using XGrad-CAM, propagating labels via prototype-guided affinity, and routing low-confidence pixels (identified by Monte Carlo dropout uncertainty) to human review will produce pixel-level pseudo-labels that yield higher segmentation mIoU than single-model CAM baselines under the same weak supervision budget.</w:t>
      </w:r>
    </w:p>
    <w:p>
      <w:r>
        <w:t xml:space="preserve"> </w:t>
      </w:r>
    </w:p>
    <w:p>
      <w:pPr>
        <w:pStyle w:val="Heading2"/>
      </w:pPr>
      <w:r>
        <w:t>Related Work</w:t>
      </w:r>
    </w:p>
    <w:p>
      <w:r>
        <w:t>Weakly supervised semantic segmentation methods commonly derive pixel cues from class activation maps (CAMs) produced by single classification networks; these methods often apply post-processing such as DenseCRF or learned affinity modules to expand sparse seeds. Learned affinity propagation approaches improve boundary accuracy but rely on noisy seeds and can propagate errors. Prototype or contrastive methods create class prototypes to guide pixel grouping but can be sensitive to prototype initialization and seed sparsity. Ensemble learning and explanation methods (class-saliency techniques like Grad-CAM and its variants) provide richer localization but are underused for seed fusion. Uncertainty estimation (e.g., Monte Carlo dropout) has been applied to flag unreliable predictions but rarely combined with explainable weak supervision. Existing pipelines also suffer from coarse localization, low seed coverage, spurious correlations, limited interpretability evaluations, and sparse reproducibility practices for annotation generation and human routing.</w:t>
      </w:r>
    </w:p>
    <w:p>
      <w:r>
        <w:t xml:space="preserve"> </w:t>
      </w:r>
    </w:p>
    <w:p>
      <w:pPr>
        <w:pStyle w:val="Heading2"/>
      </w:pPr>
      <w:r>
        <w:t>Abstract</w:t>
      </w:r>
    </w:p>
    <w:p>
      <w:r>
        <w:t>We address the problem of converting image-level labels into reliable pixel-level annotations under limited annotation budgets, with a focus on producing explanations and uncertainty signals that support human review. We propose an ensemble-guided pipeline that (1) extracts visual explanations using XGrad-CAM (a gradient-weighted saliency method) from multiple pre-trained backbones, (2) intersects or fuses high-confidence saliency regions across models to form precise seeds, (3) learns prototype-guided pixel affinities to propagate seeds into dense pseudo-labels via a normalized random-walk diffusion, and (4) applies Monte Carlo dropout (a practical method to estimate model uncertainty by sampling dropout at test time) to identify low-confidence pixels for human adjudication. The main contribution is a reproducible, explainable weak-supervision method that combines ensemble visual interpretability with uncertainty-aware human routing to improve pseudo-label quality. We expect the approach to increase segmentation accuracy from weak labels, produce better-aligned explanations, and reduce erroneous automated annotations that require costly manual correction.</w:t>
      </w:r>
    </w:p>
    <w:p>
      <w:r>
        <w:t xml:space="preserve"> </w:t>
      </w:r>
    </w:p>
    <w:p>
      <w:pPr>
        <w:pStyle w:val="Heading2"/>
      </w:pPr>
      <w:r>
        <w:t>Experiments</w:t>
      </w:r>
    </w:p>
    <w:p>
      <w:r>
        <w:t>Datasets: PASCAL VOC2012 trainaug (10,582 train / 1,449 val / 1,456 test) for primary evaluation; COCO subset (5k val) and Cityscapes (train 2,975 / val 500 / test 1,525) for domain checks. Supervision regimes: (A) weak-only (image tags for all train images), (B) weak + 100 strong masks (≈5 per class), (C) weak + 500 strong masks (≈25 per class). Baselines: CAM + DenseCRF, AffinityNet-style learned affinity, SEAM, IRNet, DSRG, Mean-Teacher/MCT weakly-supervised variants, and a fully-supervised oracle (DeepLabv3+ with ResNet-101 on full GT masks). Model setup: ensemble of three pre-trained backbones (ResNet50, EfficientNet, DenseNet); derive per-model saliency with XGrad-CAM (a gradient-based saliency map); fuse seeds by intersection and class-adaptive thresholding; learn prototype P_k per class (EMA-updated within batches) and compute affinity A_ij = λ·sim(f_i,f_j) + (1−λ)·aggregate_k[sim(f_i,P_k)·sim(f_j,P_k)] where sim(u,v)=cosine similarity (unit-normalized dot product) and scaling by 1/τ is applied to logits before sigmoid/softmax. Uncertainty: Monte Carlo dropout with T=20 stochastic forward passes to compute per-pixel entropy; route pixels with entropy above a fixed threshold (e.g., 0.75) to human review. Propagation: build W_ij = exp(A_ij), D = diag(sum_j W_ij), T = D^{-1}W (row-stochastic), iterate Q^{t+1} = α T^T Q^{t} + (1−α) S_seed for label diffusion. Metrics: segmentation mIoU (primary), per-class IoU, boundary IoU, pixel-wise accuracy, seed precision/coverage, Expected Calibration Error (ECE), Brier score, explanation IoU (saliency vs GT), weighted overlap, pointing-game accuracy, deletion/insertion AUC (remove/insert top-k salient pixels and measure segmentation effect). Experimental protocol: fixed random seeds (report mean and 95% bootstrap CI), run N&gt;=3 for routine experiments and N&gt;=5 for key claims; compute approximate GPU budgets (pilot reduced-res: ~10–30 GPU-hours; full VOC run: ~150–200 GPU-hours per run on one 16GB GPU). Ablations: (1) remove ensemble fusion (single-model CAM), (2) remove prototype term (λ=1), (3) vary propagation α and steps T, (4) replace T^T with T update, (5) vary uncertainty routing threshold and MC dropout samples, (6) vary seed fusion rule (intersection vs union vs weighted). Statistical tests: paired Wilcoxon or t-test as appropriate with Holm-Bonferroni correction.</w:t>
      </w:r>
    </w:p>
    <w:p>
      <w:r>
        <w:t xml:space="preserve"> </w:t>
      </w:r>
    </w:p>
    <w:p>
      <w:pPr>
        <w:pStyle w:val="Heading2"/>
      </w:pPr>
      <w:r>
        <w:t>Risk Factors And Limitations</w:t>
      </w:r>
    </w:p>
    <w:p>
      <w:r>
        <w:t>1) Seed coverage vs precision trade-off: intersecting ensemble saliency may yield very precise but low-coverage seeds, reducing propagation effectiveness. 2) CAM coarseness: class activation maps can miss thin structures or small objects leading to systematic errors. (CAM: class activation map, a heatmap showing model-relevant image regions.) 3) Prototype drift: EMA-updated prototypes may be biased if initial seeds are unrepresentative, causing incorrect affinity propagation. 4) Uncertainty miscalibration: Monte Carlo dropout entropy may not correlate with true error in some cases, leading to missed failures or excessive human workload. (Monte Carlo dropout: run dropout at test time multiple times to estimate predictive uncertainty.) 5) Computational cost: full dense affinity (O(N^2) for N pixels) is infeasible at high resolution; sparse or local-window implementations are required and add engineering complexity. 6) Domain shift and generalization: pseudo-labels tuned on one dataset (e.g., VOC) may not transfer to medical images without domain-specific adaptation. 7) Human-study and annotation bias: routing uncertain pixels to human annotators may still produce inconsistent labels and requires careful QC. 8) Reproducibility dependencies: results depend on pre-trained backbones, library versions, and threshold choices; strict versioning and CI are necessary but add overhead.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