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counterfactual_bias_backfire</w:t>
      </w:r>
    </w:p>
    <w:p>
      <w:r>
        <w:t xml:space="preserve"> </w:t>
      </w:r>
    </w:p>
    <w:p>
      <w:pPr>
        <w:pStyle w:val="Heading2"/>
      </w:pPr>
      <w:r>
        <w:t>Title</w:t>
      </w:r>
    </w:p>
    <w:p>
      <w:r>
        <w:t>Controlled experiment evaluating how counterfactual explanations modulate adoption of algorithmic bias in XAI-supported hiring decisions</w:t>
      </w:r>
    </w:p>
    <w:p>
      <w:r>
        <w:t xml:space="preserve"> </w:t>
      </w:r>
    </w:p>
    <w:p>
      <w:pPr>
        <w:pStyle w:val="Heading2"/>
      </w:pPr>
      <w:r>
        <w:t>Short Hypothesis</w:t>
      </w:r>
    </w:p>
    <w:p>
      <w:r>
        <w:t>Providing counterfactual explanations increases the probability that participants follow biased AI hiring recommendations compared with feature-importance explanations or no explanation, and this increase is larger when the AI model is biased and when decision stakes are high.</w:t>
      </w:r>
    </w:p>
    <w:p>
      <w:r>
        <w:t xml:space="preserve"> </w:t>
      </w:r>
    </w:p>
    <w:p>
      <w:pPr>
        <w:pStyle w:val="Heading2"/>
      </w:pPr>
      <w:r>
        <w:t>Related Work</w:t>
      </w:r>
    </w:p>
    <w:p>
      <w:r>
        <w:t>Prior work has tested explanation types (counterfactuals, feature-importance, examples) and algorithmic debiasing methods (reweighting, adversarial debiasing, constrained optimization), and has studied user trust, calibration, and fairness metrics. Existing approaches show that explanations can change decisions and that some mitigation methods reduce statistical bias metrics, but they have three key limitations: (1) most studies are cross-sectional and do not measure adoption across sequential interactions or phases, (2) counterfactual generation is often underspecified (no SCM constraints or provenance) so actionability, proximity, and proxy-creation risks are not systematically varied, and (3) artifact and privacy audits (indistinguishability between biased/unbiased model conditions, adversarial classifiers, and differential-privacy releases) are rarely formalized with equivalence tests. These gaps leave unresolved when explanations cause backfire (increased adoption of bias) and how to audit and release stimuli safely.</w:t>
      </w:r>
    </w:p>
    <w:p>
      <w:r>
        <w:t xml:space="preserve"> </w:t>
      </w:r>
    </w:p>
    <w:p>
      <w:pPr>
        <w:pStyle w:val="Heading2"/>
      </w:pPr>
      <w:r>
        <w:t>Abstract</w:t>
      </w:r>
    </w:p>
    <w:p>
      <w:r>
        <w:t>This study tests whether counterfactual explanations make people more likely to adopt biased AI recommendations in a simulated hiring task. We run a preregistered, randomized controlled experiment with sequential interaction phases to observe how exposure, learning, and repeated decisions change adoption over time. The core method contrasts three explanation conditions (counterfactual, feature-importance, none) crossed with model bias (biased vs unbiased) and stake level (low vs high). We integrate domain-specific structural causal models (SCMs) to generate constrained counterfactuals that avoid manipulating protected or immutable features and produce provenance metadata for every explanation. Primary outcome is binary adoption of the model recommendation; secondary outcomes include perceived fairness, trust, confidence, and decision time. We preregister GLMM analyses and equivalence-based artifact audits, and we publish containerized generation and audit code plus differentially private synthetic data. The main contribution is empirical identification of conditions where counterfactual explanations increase or decrease adoption of algorithmic bias and operational criteria for safe XAI deployment.</w:t>
      </w:r>
    </w:p>
    <w:p>
      <w:r>
        <w:t xml:space="preserve"> </w:t>
      </w:r>
    </w:p>
    <w:p>
      <w:pPr>
        <w:pStyle w:val="Heading2"/>
      </w:pPr>
      <w:r>
        <w:t>Experiments</w:t>
      </w:r>
    </w:p>
    <w:p>
      <w:r>
        <w:t>Datasets: (1) synthetic hiring data generated from a known SCM with labeled protected attribute and controlled bias injections; (2) de-identified hiring-proxy dataset with bias profile; (3) replication dataset from a public credit/hiring proxy. Baselines: feature-importance explanations (e.g., SHAP-like ranked features) and no-explanation control. Design: factorial randomization bias_condition (biased, unbiased) × explanation_type (counterfactual, feature-importance, none) × stakes (low, high) with within-subject sequential phases (baseline, model-interaction, post-interaction) and boundary-condition submanipulations (time pressure, cognitive load). Sample: fixed Ntarget = 600 participants for primary study; pre-specified exclusion rules (attention failures, duplicates, implausible completion times). Primary metric: adoption binary (participant follows model recommendation: yes/no). Secondary metrics: perceived fairness (multi-item scale), trust (Likert), confidence (Likert), decision_time_ms. Fairness metrics (technical): demographic_parity_gap (difference in selection rates), equalized_odds_gap (max TPR/FPR difference), calibration_in_the_large (mean predicted minus observed outcome). Analysis: primary GLMM with logit link: adoption ~ bias * explanation * stakes + covariates (expertise, numeracy) + (1 + explanation | participant) + (1 | item); report Type III tests and preplanned simple-slopes contrasts; Holm correction across primary contrasts. Power: simulation-based power curves using pilot ICCs (participant ICC 0.15–0.25, item ICC 0.03–0.08) to confirm MDEs. Artifact audits: equivalence testing (TOST) per-feature margins (Cohen's d ±0.20, proportion Δ ±0.05) and multivariate Mahalanobis mapping (covariance regularized); adversarial indistinguishability battery: logistic regression, random forest, multilayer perceptron trained with cross-validation; require adversarial AUC &lt; 0.60. Ablations: vary counterfactual properties (proximity, sparsity, actionability, causal vs correlational framing) to test which properties drive adoption. Release: containerized generation and audit code; differentially private synthetic dataset (ε=1.0, δ=1e-6) for public sharing.</w:t>
      </w:r>
    </w:p>
    <w:p>
      <w:r>
        <w:t xml:space="preserve"> </w:t>
      </w:r>
    </w:p>
    <w:p>
      <w:pPr>
        <w:pStyle w:val="Heading2"/>
      </w:pPr>
      <w:r>
        <w:t>Risk Factors And Limitations</w:t>
      </w:r>
    </w:p>
    <w:p>
      <w:r>
        <w:t>Threshold calibration: hard cutoffs (mutual information, correlation, equivalence margins, adversarial AUC, random-slope variance) may be arbitrary without pilot calibration and could lead to false positives/negatives. SCM validity: counterfactuals depend on assumed causal graphs; wrong edges produce implausible or misleading recommendations. Participant behavior: online participants may not reflect real-world decision-makers; repeated interactions may produce learning or fatigue that confounds effects. Measurement error: subjective scales (fairness, trust) require psychometric validation; insufficient reliability reduces power. Statistical power: higher-order interactions (three-way) need large samples; N=600 may be underpowered for small effects. Privacy vs utility tradeoff: differential privacy and removal of raw protected values reduce re-identification risk but can degrade utility for subgroup auditing. Adversarial audit limits: chosen adversary models and training protocols may not capture all realistic attackers. Generalization: results from hiring proxies may not extend to other domains (health, lending) with different stakes, covariate structures, and social meanings. Computational cost: generating SCM-based counterfactuals at scale and running audit batteries is compute-intensive.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