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which_lime_should_i_trust</w:t>
      </w:r>
    </w:p>
    <w:p>
      <w:r>
        <w:t xml:space="preserve"> </w:t>
      </w:r>
    </w:p>
    <w:p>
      <w:pPr>
        <w:pStyle w:val="Heading2"/>
      </w:pPr>
      <w:r>
        <w:t>Title</w:t>
      </w:r>
    </w:p>
    <w:p>
      <w:r>
        <w:t>Formal identifiability, diagnostics, and robustness evaluation of Conditional-LIME local explanations for high-dimensional models</w:t>
      </w:r>
    </w:p>
    <w:p>
      <w:r>
        <w:t xml:space="preserve"> </w:t>
      </w:r>
    </w:p>
    <w:p>
      <w:pPr>
        <w:pStyle w:val="Heading2"/>
      </w:pPr>
      <w:r>
        <w:t>Short Hypothesis</w:t>
      </w:r>
    </w:p>
    <w:p>
      <w:r>
        <w:t>If perturbations are drawn from an accurate conditional sampler and the target model is locally smooth, then Conditional-LIME will recover local linear surrogate coefficients with error proportional to the model Taylor remainder plus the sampler distribution error and will produce higher median per-instance local R^2 than vanilla LIME under the same sample budget.</w:t>
      </w:r>
    </w:p>
    <w:p>
      <w:r>
        <w:t xml:space="preserve"> </w:t>
      </w:r>
    </w:p>
    <w:p>
      <w:pPr>
        <w:pStyle w:val="Heading2"/>
      </w:pPr>
      <w:r>
        <w:t>Related Work</w:t>
      </w:r>
    </w:p>
    <w:p>
      <w:r>
        <w:t>Existing model-agnostic local explainers (LIME and variants) rely on perturbation-based surrogates to explain a model's prediction. Prior extensions propose conditional sampling, generative samplers (VAE, normalizing flows, masked language models), ensembling, and Bayesian surrogates to improve fidelity and uncertainty. Work on explanation robustness has defined adversarial attacks that change explanations with small input or sampling perturbations and proposed defenses like ensemble averaging and detection via two-sample tests. Diagnostics such as MMD (maximum mean discrepancy, a distance between distributions) and classifier-based density-ratio estimators estimate how far perturbed samples are from the data manifold. Gaps remain: lack of complete identifiability proofs under stated constants, sensitivity to sampler misspecification, vacuous certificates in high ambient dimension, expensive per-instance uncertainty estimation, limited per-instance diagnostic power, and few integrated human-subject evaluations that link explanation properties to decision outcomes.</w:t>
      </w:r>
    </w:p>
    <w:p>
      <w:r>
        <w:t xml:space="preserve"> </w:t>
      </w:r>
    </w:p>
    <w:p>
      <w:pPr>
        <w:pStyle w:val="Heading2"/>
      </w:pPr>
      <w:r>
        <w:t>Abstract</w:t>
      </w:r>
    </w:p>
    <w:p>
      <w:r>
        <w:t>We study when and how Conditional-LIME recovers true local linear behavior of complex models, and we provide a practical diagnostic and evaluation suite to make local explanations testable and robust. We formalize an identifiability result showing surrogate coefficient error decomposes into a sampling/estimation term and a bias term that scales with the model's local Taylor remainder and the sampler distribution mismatch. We design per-instance diagnostics for manifold realism (classifier density-ratio and MMD), calibrated confidence intervals for attributions using stratified bootstrap and Bayesian surrogates, and a sampler calibration protocol (importance reweighting and local fine-tuning). We benchmark sampler choices, sample budgets, and defenses under adversarial envelopes that control input perturbation, sampler corruption, and model parameter change. We include synthetic ground-truth datasets, clinical tabular, text, and image tasks, and a pre-registered clinician study template. Expected outcomes are a tested identifiability proof with explicit constants, a reproducible evaluation harness, and clear thresholds and safety gates that indicate when Conditional-LIME outputs are reliable enough for user-facing deployment.</w:t>
      </w:r>
    </w:p>
    <w:p>
      <w:r>
        <w:t xml:space="preserve"> </w:t>
      </w:r>
    </w:p>
    <w:p>
      <w:pPr>
        <w:pStyle w:val="Heading2"/>
      </w:pPr>
      <w:r>
        <w:t>Experiments</w:t>
      </w:r>
    </w:p>
    <w:p>
      <w:r>
        <w:t>Datasets: (1) Synthetic ground-truth functions on controlled low- and high-dimensional manifolds with known local gradients and interactions. (2) Tabular clinical subset (de-identified MIMIC features) for risk-prediction models. (3) Text sentiment subset (SST-like) for MaskLM generators. (4) Image subset (ImageNet classes with pretrained ResNet). Baselines: vanilla LIME (original perturbation), kernel SHAP, nearest-neighbor conditional resampling, ensemble-LIME (seed/sampler ensemble). Generators: VAE, normalizing flow, MaskLM; implement importance reweighting and local fine-tuning variants. Surrogates: OLS weighted linear model, Bayesian ridge (for credible intervals), and constrained sparse bases. Metrics: per-instance local R^2 and MSE between surrogate and model f, coefficient ℓ2-error to ground-truth gradient (synthetic), top-k attribution flip rate, stability = coefficient coefficient-of-variation (CV) across seeds, manifold realism = estimated TV via classifier-based density-ratio (TV ≈ 0.5 E|p−q|) and MMD statistic, credible interval coverage for top-k features, adversarial success rate under envelopes (ε L2 input, ρ sampler corruption fraction, η parameter perturbation norm), and runtime per instance. Experimental setup: sample budgets N ∈ {500,1000,5000}, batch generation on single GPU, stratified hierarchical bootstrap with 200 resamples per instance for CIs (use analytic approx. for large-scale sweeps), and fixed seeds for reproducibility. Ablations: (A) sampler type (VAE vs flow vs nearest-neighbor) with and without importance reweighting; (B) surrogate type (OLS vs Bayesian ridge vs sparse constrained); (C) sample budget N; (D) adversary envelope sweep over ε, ρ, η. Human study: pre-registered clinician arm (n=100) comparing Conditional-LIME with calibrated diagnostics versus vanilla LIME on decision accuracy and reliance; power calculation and exact script pre-registered prior to data collection. Report all results with CI and fixed random seeds, containerized runs, and per-instance diagnostic logs.</w:t>
      </w:r>
    </w:p>
    <w:p>
      <w:r>
        <w:t xml:space="preserve"> </w:t>
      </w:r>
    </w:p>
    <w:p>
      <w:pPr>
        <w:pStyle w:val="Heading2"/>
      </w:pPr>
      <w:r>
        <w:t>Risk Factors And Limitations</w:t>
      </w:r>
    </w:p>
    <w:p>
      <w:r>
        <w:t>Technical failure modes: sampler misspecification or mode collapse can yield biased perturbations and misleading attributions; importance weights may have high variance in high dimensions. High-dimensional vacuity: Lipschitz or sensitivity-based certificates can be conservative or vacuous when ambient dimension is large unless intrinsic dimension or sparse bases are used. Diagnostic limits: classifier-based TV estimates can be biased under small sample sizes or model misspecification; bootstrap CIs per instance are computationally expensive. Adversarial risk: explainer-space or model-level attacks can manipulate explanations while preserving accuracy. Data and evaluation biases: clinical datasets have cohort and measurement biases and require DUAs/IRB steps; human studies may not generalize across institutions. Compute and scalability: generative samplers and 1k–5k perturbations per instance increase latency and GPU cost, limiting real-time use. Generalization limits: proofs rely on local smoothness (C2) and sufficient design conditioning; when these fail, identifiability and safety gates can fail. Estimating intrinsic manifold dimension per instance is noisy, which may make dimensionality-aware bounds uncertain.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