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gbs_chromogenic_spectroscopy</w:t>
      </w:r>
    </w:p>
    <w:p>
      <w:r>
        <w:t xml:space="preserve"> </w:t>
      </w:r>
    </w:p>
    <w:p>
      <w:pPr>
        <w:pStyle w:val="Heading2"/>
      </w:pPr>
      <w:r>
        <w:t>Title</w:t>
      </w:r>
    </w:p>
    <w:p>
      <w:r>
        <w:t>Quantitative point-of-care identification of Group B Streptococcus by absorption spectroscopy of chromogenic culture media</w:t>
      </w:r>
    </w:p>
    <w:p>
      <w:r>
        <w:t xml:space="preserve"> </w:t>
      </w:r>
    </w:p>
    <w:p>
      <w:pPr>
        <w:pStyle w:val="Heading2"/>
      </w:pPr>
      <w:r>
        <w:t>Short Hypothesis</w:t>
      </w:r>
    </w:p>
    <w:p>
      <w:r>
        <w:t>Converting chromogenic-media pigment absorption into an electrical signal and a computed variable will produce a quantitative measure that correlates with GBS concentration and classifies maternal colonization with sensitivity ≥90% and specificity ≥95% versus a composite reference (enriched culture plus PCR).</w:t>
      </w:r>
    </w:p>
    <w:p>
      <w:r>
        <w:t xml:space="preserve"> </w:t>
      </w:r>
    </w:p>
    <w:p>
      <w:pPr>
        <w:pStyle w:val="Heading2"/>
      </w:pPr>
      <w:r>
        <w:t>Related Work</w:t>
      </w:r>
    </w:p>
    <w:p>
      <w:r>
        <w:t>Existing rapid GBS methods include nucleic-acid amplification tests (PCR, isothermal methods such as LAMP and RPA) and antigen lateral-flow assays. Culture on selective media with 18–24 h enrichment remains the clinical reference for colonization detection. Molecular tests give fast and sensitive detection but require specialized reagents or instruments and can be affected by inhibitors or intrapartum antibiotics. Lateral-flow antigen tests are simple but often have higher limits of detection and reduced sensitivity for low bacterial loads. Prior optical approaches measuring color changes have used RGB smartphone imaging with variable normalization and limited quantitative calibration. Limitations in prior work include dependence on complex molecular workflows, sensitivity loss in direct-swab matrices, inadequate handling of antibiotic interference, poor cross-device image normalization, and lack of rigorous mapping from optical signal to genome copies or CFU units.</w:t>
      </w:r>
    </w:p>
    <w:p>
      <w:r>
        <w:t xml:space="preserve"> </w:t>
      </w:r>
    </w:p>
    <w:p>
      <w:pPr>
        <w:pStyle w:val="Heading2"/>
      </w:pPr>
      <w:r>
        <w:t>Abstract</w:t>
      </w:r>
    </w:p>
    <w:p>
      <w:r>
        <w:t>We propose a point-of-care test that quantifies Group B Streptococcus (GBS) colonization by measuring pigment produced on chromogenic culture media using specific absorption spectroscopy. The method converts measured light absorption into an electrical signal and computes a single quantitative variable that maps to bacterial load. The main contribution is an end-to-end, quantitative POC workflow: defined swab elution and input volumes, calibrated spectral measurement of chromogenic pigment, and an algorithm that outputs GBS concentration and a colonization call. Expected outcomes are a demonstrable limit of detection in direct vaginal–rectal swab matrix, numerical conversion between CFU/mL and copies/reaction, and diagnostic accuracy comparable to enriched culture plus PCR while enabling faster intrapartum decisions. If validated, this approach could provide low-power, low-complexity screening with objective, instrumented readout suitable for both high-resource and low-resource settings.</w:t>
      </w:r>
    </w:p>
    <w:p>
      <w:r>
        <w:t xml:space="preserve"> </w:t>
      </w:r>
    </w:p>
    <w:p>
      <w:pPr>
        <w:pStyle w:val="Heading2"/>
      </w:pPr>
      <w:r>
        <w:t>Experiments</w:t>
      </w:r>
    </w:p>
    <w:p>
      <w:r>
        <w:t>Datasets: (1) Analytical spiking series: negative donor vaginal–rectal swab eluates spiked with cultured S. agalactiae at 10^1, 10^2, 10^3, 10^4, 10^5, 10^6 CFU/mL, 5 replicates per level. (2) Clinical paired-swab study: 300 paired combined vaginal–rectal swabs from pregnant women (index direct-swab for POC, paired swab for enrichment/reference). (3) Exclusivity panel: 8 near-neighbor species with 5 strains each. Conversion assumptions: swab uptake volume = 100 µL (volume absorbed by a flocked swab), elution volume = 1.0 mL (swab into buffer), direct input volume to assay = 100 µL; therefore copies/reaction = CFU/mL * 0.1 mL; assume 1 CFU ≈ 1 genome copy for conversion. Baselines: (A) standard 18–24 h enriched culture (selective Todd-Hewitt broth with antibiotics, plated to blood/chromogenic agar) plus laboratory PCR targeting dual GBS genes (cfb + sip) as composite reference; (B) commercial rapid molecular POC assay where available; (C) visual lateral-flow read. Evaluation metrics: sensitivity, specificity, positive/negative predictive value (PPV/NPV), limit of detection (LOD) probit (CFU/mL and copies/reaction), Pearson R^2 between computed pigment variable and CFU/mL, Bland-Altman agreement, signal-to-background ratio (S/B) for optical readouts, false-positive rate for exclusivity panel. Experimental setup: spectral absorption measured at preselected wavelengths matched to pigment peak; convert to electrical units (photodiode counts) and compute normalized variable = (signal - background)/reference; set positivity threshold S/B ≥3. Analytical LOD: determine concentration with 95% detection by probit. Head-to-head comparison: direct-swab POC vs 2–4 h short enrichment POC vs full enrichment reference on paired swabs. Antibiotic interference arm: spike swab eluates with penicillin G at 0.5, 5, 50, 200 µg/mL and macrolides at 0.1, 1, 10, 100 µg/mL at simulated 0, 2, 4 h exposures; report sensitivity loss. Exclusivity testing: each near-neighbor strain tested at high load 10^6 CFU/swab; report any positive calls. Ablation studies: (1) spectral absorption readout versus RGB smartphone imaging; (2) varying input volume (50 µL, 100 µL, 200 µL) to test conversion sensitivity; (3) different normalization methods for smartphone (gray-card normalization, internal reference well). Statistical analysis: primary diagnostic accuracy vs composite reference using frequentist estimates and a pre-specified Bayesian latent-class sensitivity analysis; interim analysis after 200 clinical subjects for adaptive enrollment.</w:t>
      </w:r>
    </w:p>
    <w:p>
      <w:r>
        <w:t xml:space="preserve"> </w:t>
      </w:r>
    </w:p>
    <w:p>
      <w:pPr>
        <w:pStyle w:val="Heading2"/>
      </w:pPr>
      <w:r>
        <w:t>Risk Factors And Limitations</w:t>
      </w:r>
    </w:p>
    <w:p>
      <w:r>
        <w:t>Technical failure modes: low pigment production by some GBS strains causing weak optical signal; matrix variability (mucus, blood) altering absorption and reducing accuracy; photodiode/camera variability across devices causing inconsistent measurements. Data/evaluation biases: clinical sample prevalence differences by site may bias PPV/NPV; enriched culture and PCR imperfect reference can cause classification ambiguity. Scalability/compute limits: real-time spectral processing requires embedded electronics and calibration; smartphone normalization across many phone models may be inconsistent. Limits to generalization: method depends on chromogenic substrate chemistry and may not detect non-pigment-producing variants; antibiotic-exposed samples may reduce viable pigment formation and lower sensitivity. Regulatory/operational constraints: mapping CFU to clinical transmission risk is uncertain and may limit exact clinical decision thresholds.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