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tianjin_meat_taxation</w:t>
      </w:r>
    </w:p>
    <w:p>
      <w:r>
        <w:t xml:space="preserve"> </w:t>
      </w:r>
    </w:p>
    <w:p>
      <w:pPr>
        <w:pStyle w:val="Heading2"/>
      </w:pPr>
      <w:r>
        <w:t>Title</w:t>
      </w:r>
    </w:p>
    <w:p>
      <w:r>
        <w:t>Difference-in-differences and synthetic-control analysis of how meat-fee earmarking affected meat-safety inspections and outcomes in Republican-era Tianjin</w:t>
      </w:r>
    </w:p>
    <w:p>
      <w:r>
        <w:t xml:space="preserve"> </w:t>
      </w:r>
    </w:p>
    <w:p>
      <w:pPr>
        <w:pStyle w:val="Heading2"/>
      </w:pPr>
      <w:r>
        <w:t>Short Hypothesis</w:t>
      </w:r>
    </w:p>
    <w:p>
      <w:r>
        <w:t>When municipal meat-fee receipts were legally earmarked for sanitary purposes, inspection frequency and condemnation rates at local slaughterhouses increased relative to non-earmarked areas between 1918 and 1935.</w:t>
      </w:r>
    </w:p>
    <w:p>
      <w:r>
        <w:t xml:space="preserve"> </w:t>
      </w:r>
    </w:p>
    <w:p>
      <w:pPr>
        <w:pStyle w:val="Heading2"/>
      </w:pPr>
      <w:r>
        <w:t>Related Work</w:t>
      </w:r>
    </w:p>
    <w:p>
      <w:r>
        <w:t>Prior work combines descriptive municipal history, fiscal history, and public-health case studies to document sanitation reforms and fee regimes in late Qing and Republican China, and methodological work applies difference-in-differences (DiD) and synthetic-control methods to historical policy shocks. Limitations: many studies are narrative or cross-sectional and do not trace fiscal flows from receipts to expenditures; archival projects often lack chained receipt→ledger→bank→appropriation evidence needed to claim legal earmarking; historical epidemiological work commonly suffers from nosological ambiguity (disease naming changes) and weak spatio-temporal linkage to contamination sources; causal-inference applications in historical contexts rarely pre-specify placebo, instrument-exclusion, and spatial-dependence diagnostics. These gaps leave open whether observed sanitary outcomes reflect targeted earmarking, general municipal spending increases, measurement error, or selection in archival survival.</w:t>
      </w:r>
    </w:p>
    <w:p>
      <w:r>
        <w:t xml:space="preserve"> </w:t>
      </w:r>
    </w:p>
    <w:p>
      <w:pPr>
        <w:pStyle w:val="Heading2"/>
      </w:pPr>
      <w:r>
        <w:t>Abstract</w:t>
      </w:r>
    </w:p>
    <w:p>
      <w:r>
        <w:t>This project tests whether legally earmarked meat-fee revenue caused municipal slaughterhouses in Tianjin to deliver more and better sanitary services in 1918–1935. Using linked archival chains (collection receipts, cashbooks, general ledgers, bank deposits, appropriation orders, and expenditure vouchers) and inspection/condemnation registers, we construct hard measures of earmark status and sanitation activity. We estimate causal effects with difference-in-differences (comparing units that had formal earmarks to those that did not across time) and synthetic-control methods for single-unit shocks, complemented by spatial models and outbreak linkage to hospital and newspaper records. Main contributions: (1) an operationalized definition of earmarking based on chained fiscal evidence; (2) pre-registered primary endpoints and lag windows; (3) integrated econometric, geospatial, and epidemiological tests for mechanism and robustness. Expected outcome: clear, reproducible estimates of whether earmarking increased inspections and condemnations, improving historical understanding of fiscal design and public-health governance.</w:t>
      </w:r>
    </w:p>
    <w:p>
      <w:r>
        <w:t xml:space="preserve"> </w:t>
      </w:r>
    </w:p>
    <w:p>
      <w:pPr>
        <w:pStyle w:val="Heading2"/>
      </w:pPr>
      <w:r>
        <w:t>Experiments</w:t>
      </w:r>
    </w:p>
    <w:p>
      <w:r>
        <w:t>Datasets: (A) Fiscal archives: original collection receipts (收款单), daily cashbooks (日记账), general ledgers (总账) with account codes, bank deposit slips, municipal appropriation orders (拨款令), expenditure vouchers, and payroll registers; (B) Inspection/condemnation records: slaughterhouse inspection logs, 检验没入簿 (condemnation registers); (C) Public-health sources: hospital admission/discharge logs, mortuary cause lists, municipal health outbreak reports, and contemporaneous newspapers; (D) GIS sources: historical maps for concession boundaries, ward/street units, cadastral parcels, and railway node locations. Primary outcomes (pre-registered): (1) inspections_per_1000_stalls = (number of inspection visits in unit-month / number of market stalls in unit) * 1000; (2) revenue_earmark_share = (sum of receipts traced by full chain to sanitary accounts / total meat-fee receipts) * 100. Secondary outcomes: condemnation_rate = condemned_carcasses / total_carcasses_inspected; inspector_payroll_share = inspector_payroll / total_meat_fee_receipts; sanitation_expenditure_per_inspection. Baselines: control units = wards/streets with no documented earmark; alternative baseline = pooled municipal average. Identification strategies: DiD with unit and time fixed effects (difference-in-differences compares before/after changes between treated and controls); synthetic control for single-unit shocks (construct a weighted combination of donor units to match pre-treatment trends). Pre-specified econometric details: cluster standard errors at unit level; if clusters&lt;50 use wild cluster bootstrap; report Newey-West HAC SEs; test spatial autocorrelation with Moran's I (Moran's I measures whether values are clustered in space). Lag windows: exposure→illness: 7, 14, 30 days; policy→inspection effects: 0, 30, 90 days. Significance and multiple testing: two primary outcomes, Bonferroni-adjusted alpha=0.025 for each; secondary outcomes adjusted by Benjamini-Hochberg FDR at 0.05. Power and sample rules: target 60–70 clusters over 3 periods to detect 0.5 SD effects at 80% power; pilot minimum: 30 units observed across 1918/1927/1935 and ≥100 verified receipt→expenditure chains. Fallback numeric rules: if clusters&lt;30 then rely on synthetic-control with donor pool pre-specification and Y=500 placebo iterations; report permutation p-values. Synthetic-control pre-specs: donor pool excludes neighboring units that share direct administrative shocks; weighting constrained to non-negative weights summing to 1; inference via placebo-based p-values. Ablation studies: (A) DiD vs synthetic-control comparison; (B) chain completeness ablation: high-confidence chains only (full chain) vs medium-confidence chains (partial chain) to test sensitivity of earmark measurement; (C) spatial aggregation ablation: street vs ward-level aggregation and buffers at 100m, 300m, 500m. Quality controls and pre-registered measurement rules: multiple-imputation by chained equations (MICE; MICE fills missing numbers by modeling them iteratively), double-code 20% of transcriptions with Cohen's kappa target &gt;=0.8 (kappa measures inter-coder agreement), OCR error model to record character-level error rates and propagate uncertainty, probabilistic record linkage threshold set to 0.9 for person/place matches. Instrument falsification tests: regress instruments (e.g., railway node distance) on pre-treatment outcomes and unrelated municipal investments; conduct mediation tests to check direct pathways. Spatial models: run spatial lag and spatial error specifications if Moran's I significant. Outbreak linkage rule (pre-registered): classify event as meat-related only if at least one clinical/hospital or lab record AND one administrative/condemnation/press source occur within the same ward and within specified lag window (7–14 days); assign confidence scores and run sensitivity to 30- and 60-day windows. Evaluation metrics: effect estimates with 95% confidence intervals, permutation p-values for synthetic controls, pre-post mean differences, standardized effect sizes (in SD units), and balance diagnostics (pre-treatment root mean square prediction error, RMSPE).</w:t>
      </w:r>
    </w:p>
    <w:p>
      <w:r>
        <w:t xml:space="preserve"> </w:t>
      </w:r>
    </w:p>
    <w:p>
      <w:pPr>
        <w:pStyle w:val="Heading2"/>
      </w:pPr>
      <w:r>
        <w:t>Risk Factors And Limitations</w:t>
      </w:r>
    </w:p>
    <w:p>
      <w:r>
        <w:t>Archival survival: incomplete or destroyed records may bias which units can be coded; surviving documents may not be representative. Measurement error: miscounting of stalls, ambiguous or missing denominators for condemnation rates, and OCR/transcription errors can bias estimates. Nosological uncertainty: historical disease names and diagnostic practices differ from modern codes, creating misclassification of meat-related illness. Instrument validity risk: instruments like railway distance or cadastral lines may correlate with unobserved development or municipal investments, violating exclusion. Spatial dependence: nearby units may not be independent, complicating inference if spatial autocorrelation is strong. Small-cluster inference: too few treated or control clusters reduces reliability of clustered SEs and may force reliance on synthetic-control with weaker external validity. Georeferencing uncertainty: historical addresses and maps produce positional error (50–200 m), limiting fine-grained spatial claims. Selection and survivorship bias: evidence chains (receipt→ledger→bank) may survive differentially by concession or political actor, biasing earmark measurement. Ethical/data-security constraints: archive access restrictions or embargoes may limit data sharing and reproducibility. Generalizability: findings specific to Tianjin’s institutional and concession context may not extend to other cities or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