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Geochemical, isotopic, and experimental reconstruction of technological trajectories in iron smelting at Phnom Dek (7th–20th century CE)</w:t>
      </w:r>
    </w:p>
    <w:p>
      <w:r>
        <w:t xml:space="preserve"> </w:t>
      </w:r>
    </w:p>
    <w:p>
      <w:pPr>
        <w:pStyle w:val="Heading2"/>
      </w:pPr>
      <w:r>
        <w:t>Short Hypothesis</w:t>
      </w:r>
    </w:p>
    <w:p>
      <w:r>
        <w:t>Shifts in slag major-oxide and trace-element compositions together with Fe/O/S isotope ratios at Phnom Dek are caused by changes in smelting recipes and raw-material sources, such that a combined multi-analytical classifier can assign slag samples to their correct chronological phase (7th–10th, 11th–15th, 16th–20th C) with at least 80% accuracy.</w:t>
      </w:r>
    </w:p>
    <w:p>
      <w:r>
        <w:t xml:space="preserve"> </w:t>
      </w:r>
    </w:p>
    <w:p>
      <w:pPr>
        <w:pStyle w:val="Heading2"/>
      </w:pPr>
      <w:r>
        <w:t>Related Work</w:t>
      </w:r>
    </w:p>
    <w:p>
      <w:r>
        <w:t>Prior approaches combine bulk geochemical fingerprinting (major oxides and trace elements), targeted isotopes, experimental furnace replication, archaeomagnetic/OSL dating, and ethnography. Strengths include the ability to detect raw-material signatures (geochemistry), process signals (microstructure), and independent dating lines (14C, OSL, archaeomag). Limitations are inconsistent QA/QC and CRM use, small sample sizes and low replication, sparse or ad hoc isotope deployment, weak propagation of measurement uncertainty into provenance models, poor integration of experimental texture metrics with chemometrics, and lack of a single, versioned decision framework linking sampling, analysis, and Bayesian chronology. Existing work rarely tests classification performance thresholds or provides unified acceptance criteria across labs, reducing reproducibility and comparability.</w:t>
      </w:r>
    </w:p>
    <w:p>
      <w:r>
        <w:t xml:space="preserve"> </w:t>
      </w:r>
    </w:p>
    <w:p>
      <w:pPr>
        <w:pStyle w:val="Heading2"/>
      </w:pPr>
      <w:r>
        <w:t>Abstract</w:t>
      </w:r>
    </w:p>
    <w:p>
      <w:r>
        <w:t>This project addresses how iron‑smelting recipes and traditions changed at Phnom Dek from the 7th to the 20th century by combining geochemistry, isotopes, experimental replication, and integrated chronology. We propose a single, testable pipeline that links bulk slag chemistry (major oxides and trace elements), targeted Fe/O/S isotope analyses, mineralogical and microstructural characterization, controlled furnace experiments, and multi-method dating (AMS 14C, archaeomagnetism, OSL) within a unified statistical framework. The main contribution is an operational, reproducible decision system: unified QA/QC acceptance criteria, a power‑based sampling plan, a chemometric + Bayesian provenance workflow, and explicit gates that quantify when to expand costly analyses (e.g., isotopes). Expected outcomes are (1) robust classification of production phases and recipes, (2) experimentally validated links between recipes and slag textures, and (3) a versioned annex and data schema that enable reproducible inference about technological transmission and raw‑material sourcing at Phnom Dek.</w:t>
      </w:r>
    </w:p>
    <w:p>
      <w:r>
        <w:t xml:space="preserve"> </w:t>
      </w:r>
    </w:p>
    <w:p>
      <w:pPr>
        <w:pStyle w:val="Heading2"/>
      </w:pPr>
      <w:r>
        <w:t>Experiments</w:t>
      </w:r>
    </w:p>
    <w:p>
      <w:r>
        <w:t>Datasets: 30–36 AMS 14C dates stratified across three phases; 8–12 slag specimens per slag fabric/type per phase (minimum 3 specimens per sealed feature); for each slag specimen: 3 powdered aliquots, 2 thin sections; prills: ≥3 prills per slag type with 10–20 LA‑ICP‑MS spot analyses per prill; EPMA: 10–15 point analyses per dominant phase. Complementary OSL and archaeomagnetic samples: 3–5 per horizon/feature where charcoal absent. Baselines: (A) elemental-only pipeline (bulk XRF/ICP-MS + PCA/kmeans), (B) elemental + microstructure (adds SEM/optical metrics), (C) elemental + isotopes, (D) full pipeline (elemental + isotopes + experimental texture metrics). Methods and software: data processing in Python 3.9 and pandas; chemometrics in scikit-learn 1.0 (PCA, hierarchical clustering, k‑means, LDA, RandomForest); Bayesian mixing/provenance with MixSIAR-style models in R 4.2.2 and CmdStan (version 2.28) for hierarchical models; uncertainty propagation by Monte Carlo (1000 draws per sample). QA/QC: CRMs (NIST SRM 610/612, MPI‑DING, BHVO‑2, BCR‑2, GSR‑5) every 10 samples; blanks every 20; duplicates 5% of samples; inter‑lab blind splits n≥8. Evaluation metrics: classification accuracy, precision, recall, F1, confusion matrices, silhouette score (&gt;0.5 target), posterior assignment probability, reduction in posterior entropy, and chronological resolution measured as width (years) of 95% credible intervals for phase boundaries. Cross‑validation: stratified 10‑fold CV + bootstrap (1000 iterations). Experimental replication: factorial furnace matrix (12–18 conditions, 3 replicates each) with texture metrics quantified by modal phase abundance (%), grain size distribution, and phase chemistry. Ablation studies: (1) remove isotopes (compare baseline A vs C/D); (2) remove experimental texture metrics (compare B vs D); (3) reduce slag replicate counts to 6 per phase to test power loss; (4) exclude archaeomag/OSL to test chronology sensitivity. Success criteria: combined pipeline yields ≥0.80 accuracy and silhouette &gt;0.5 and reduces ambiguous provenance assignments by ≥50% relative to elemental-only baseline.</w:t>
      </w:r>
    </w:p>
    <w:p>
      <w:r>
        <w:t xml:space="preserve"> </w:t>
      </w:r>
    </w:p>
    <w:p>
      <w:pPr>
        <w:pStyle w:val="Heading2"/>
      </w:pPr>
      <w:r>
        <w:t>Risk Factors And Limitations</w:t>
      </w:r>
    </w:p>
    <w:p>
      <w:r>
        <w:t>Sample preservation: poor or recycled charcoal and disturbed contexts may invalidate associations. Contamination: surface contamination or laboratory cross‑contamination can bias isotopes and trace elements. Budget constraints: limited funds may reduce isotopic runs or 14C counts below power thresholds. Inter‑lab bias: systematic offsets between labs may remain after reconciliation. Statistical power: effect sizes in oxide ratios or isotopes may be smaller than assumed, lowering classification accuracy. Experimental reproducibility: small-scale furnaces may not reproduce all archaeological textures. Dating integration: combining 14C, archaeomag, and OSL requires strong stratigraphic control; model priors may dominate where data are sparse. Generalization: results may be site‑specific and not transfer to other regions without new reference data. Ethical and permitting limits: community consent or permit delays can restrict sampling or public data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