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reassess_composite_bow_eurasia</w:t>
      </w:r>
    </w:p>
    <w:p>
      <w:r>
        <w:t xml:space="preserve"> </w:t>
      </w:r>
    </w:p>
    <w:p>
      <w:pPr>
        <w:pStyle w:val="Heading2"/>
      </w:pPr>
      <w:r>
        <w:t>Title</w:t>
      </w:r>
    </w:p>
    <w:p>
      <w:r>
        <w:t>Integrating multimodal Bayesian diagnostics to reassess the origins and diffusion of the full horn–wood–sinew composite bow in ancient Eurasia</w:t>
      </w:r>
    </w:p>
    <w:p>
      <w:r>
        <w:t xml:space="preserve"> </w:t>
      </w:r>
    </w:p>
    <w:p>
      <w:pPr>
        <w:pStyle w:val="Heading2"/>
      </w:pPr>
      <w:r>
        <w:t>Short Hypothesis</w:t>
      </w:r>
    </w:p>
    <w:p>
      <w:r>
        <w:t>If an artefact exhibits adhesive layer thickness in the 0.1–0.5 mm range, at least three materially distinct laminae, interfacial bond strength ≥10 MPa, and replicated proteomic species signatures consistent with horn and sinew, then it was intentionally manufactured as a full horn–wood–sinew composite bow rather than arising from post-depositional adhesion or incidental assemblage.</w:t>
      </w:r>
    </w:p>
    <w:p>
      <w:r>
        <w:t xml:space="preserve"> </w:t>
      </w:r>
    </w:p>
    <w:p>
      <w:pPr>
        <w:pStyle w:val="Heading2"/>
      </w:pPr>
      <w:r>
        <w:t>Related Work</w:t>
      </w:r>
    </w:p>
    <w:p>
      <w:r>
        <w:t>Prior studies combine iconography, typology, isolated material analyses, mechanical experiments, proteomics (e.g., ZooMS, LC‑MS/MS), and radiocarbon dating to argue for early composite bows. Limitations include inconsistent definitions of 'composite' (varying adhesive/thickness/lamination criteria), small and non‑replicated biomolecular datasets, lack of systematic multi‑lab authentication, scarce taphonomy or degradation calibration, insufficient mechanical validation tied to archaeological failure signatures, and weak integration with genetic or mobility data. Existing mechanical models often lack calibration against staged degradation and replicated shooting tests. Radiocarbon work rarely uses compound‑specific approaches when mixing is likely. Overall, methods remain fragmented, thresholds are asserted rather than empirically justified, and Bayesian or probabilistic decision frameworks that combine evidence streams are largely absent.</w:t>
      </w:r>
    </w:p>
    <w:p>
      <w:r>
        <w:t xml:space="preserve"> </w:t>
      </w:r>
    </w:p>
    <w:p>
      <w:pPr>
        <w:pStyle w:val="Heading2"/>
      </w:pPr>
      <w:r>
        <w:t>Abstract</w:t>
      </w:r>
    </w:p>
    <w:p>
      <w:r>
        <w:t>This study reassesses claims about the origin and spread of the full horn–wood–sinew composite bow in ancient Eurasia by combining standardized imaging, biomolecular authentication, mechanical testing, taphonomy experiments, radiocarbon sequencing, and geospatial/genetic priors within a preregistered Bayesian decision framework. We implement measurable diagnostic thresholds (adhesive thickness 0.1–0.5 mm, ≥3 laminae, interfacial bond strength ≥10 MPa) as probabilistic priors and validate them with blind reference trials and multi‑lab proteomics replication. Taphonomy and accelerated aging produce calibrated degradation priors. Finite‑element models (FEA) informed by empirical mechanical tests quantify functional performance and archaeologically visible failure modes. The main contribution is a reproducible, quantitative decision package (data, code, SOPs) that yields posterior probabilities for 'composite' versus 'ambiguous' versus 'reject' labels for each artefact. Expected outcomes are an empirically grounded reassessment of early composite bow occurrences, clearer mapping of diffusion versus independent invention scenarios, and a validated protocol for minimal‑destructive sampling and multi‑disciplinary inference.</w:t>
      </w:r>
    </w:p>
    <w:p>
      <w:r>
        <w:t xml:space="preserve"> </w:t>
      </w:r>
    </w:p>
    <w:p>
      <w:pPr>
        <w:pStyle w:val="Heading2"/>
      </w:pPr>
      <w:r>
        <w:t>Experiments</w:t>
      </w:r>
    </w:p>
    <w:p>
      <w:r>
        <w:t>Datasets: Pilot specimen set per region: Steppe, Altai/Mongolia, Tarim/Xinjiang, Iran/Near East, China (Warring States), Scythian Ukraine. Imaging targets: n=10 per region (total ~60). Micro-samples for biomolecular + radiocarbon: 3–5 per region (total 18–30). Blind reference set: ~60 items (≈30 known composites, 20 known negatives, 10 ambiguous mixes). Baselines: (A) current literature criteria (no unified thresholds), (B) typological self-bow classification (no composite evidence). Methods and pipeline: 1) Non‑destructive imaging: micro‑CT (voxel size ≤30 μm) to record lamination count and adhesive thickness; record instrument model and calibration. 2) Proteomics: ZooMS (require ≥3 taxon‑specific peptides) and LC‑MS/MS (require ≥5 unique peptides) run independently in two labs; report peptide FDR ≤1%, mass accuracy ±5 ppm, S/N thresholds per lab. 3) Radiocarbon: bulk AMS and compound‑specific 14C where extract mass meets lab minima (see decision table); record splits and lab IDs. 4) Mechanical testing: micro‑tensile and flexural tests on permitted micro-samples and modern replicas; report interfacial bond strength (MPa) and variance. 5) FEA: parameterize models with measured modulus, density, and interface properties; run loading cycles matching bow draw curves; output stress, strain maps, and predicted failure loci. 6) Taphonomy: 12 standardized replicas (3 adhesives × 4 lamination schemes) aged in four analogue environments (arid, loess/alkaline, acidic humus, waterlogged) with staged retrievals. Evaluation metrics: sensitivity, specificity, positive predictive value, negative predictive value, posterior probability of 'composite' label, false positive/negative rates from blind trials, peptide-level FDR, radiocarbon calibration error, and model posterior predictive checks (PPC). Experimental comparisons and ablations: A) Full multimodal pipeline vs Baseline A and B. B) Ablation 1: remove mechanical evidence (FEA + bond strength) to quantify change in posterior probability. C) Ablation 2: remove proteomics replication to quantify increase in false positives. D) Ablation 3: use bulk radiocarbon only vs include compound-specific dates. Statistical setup: preregister hierarchical Bayesian DAG combining evidence streams; run MCMC with convergence diagnostics (R̂&lt;1.05); report simulated power curves for sensitivity/specificity targets (80–90% with ±10% CI) over prevalence range 10–50%; use blinded sequential monitoring with predefined stopping/futility rules.</w:t>
      </w:r>
    </w:p>
    <w:p>
      <w:r>
        <w:t xml:space="preserve"> </w:t>
      </w:r>
    </w:p>
    <w:p>
      <w:pPr>
        <w:pStyle w:val="Heading2"/>
      </w:pPr>
      <w:r>
        <w:t>Risk Factors And Limitations</w:t>
      </w:r>
    </w:p>
    <w:p>
      <w:r>
        <w:t>Preservation bias: collagen, keratin, and lipids may not survive, producing false negatives. Contamination: modern proteins or conservation materials can produce false positives if not excluded. Sample mass limits: many artefacts may lack sufficient extractable material for compound‑specific 14C or proteomics, limiting direct dating and species ID. Taphonomic variability: degradation pathways differ by microenvironment and may invalidate general priors outside tested analogues. Lab capacity and cost: compound‑specific 14C and multi‑lab replication are expensive and time-consuming, constraining sample throughput. Model misspecification: Bayesian priors or likelihoods may misrepresent complex deposition/use histories and lead to biased inferences. Generalization limits: validated thresholds may not transfer across all periods, regions, or conservational histories. Ethical and access constraints: museum permissions, national regulations, and stakeholder objections can limit destructive sampling and dataset completeness. Computational limits: high‑resolution FEA and full hierarchical MCMC with many artifacts require substantial compute and may be slow to converge for large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