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pleistocene_western_europe_dispersal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Bayesian multi-proxy chronological and spatial modelling to test dispersal and population dynamics of early to middle Pleistocene hominins in western Europe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Abrupt climate-driven habitat and sea-level changes caused episodic hominin dispersals into western Europe, producing temporally clustered occupation horizons and genetically discontinuous populations relative to intervening periods of low occupancy.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combine single-method chronologies (OSL, ESR/U-series, radiocarbon where applicable), molecular assays (ancient DNA, enamel/dentine proteomics), lithic behavioural analysis, zooarchaeology, and spatial models (least-cost and species-distribution models). Limitations: many studies rely on single dating methods or pooled dates without fully propagating method-specific errors; stratigraphic uncertainty and reworking are often under-accounted for; molecular studies are constrained by small, biased sample sets and inconsistent triage; inter-lab calibration is limited, producing systematic biases; submerged-shelf chronologies (Doggerland) are poorly constrained by marine reservoir effects and sparse tie-points; modelling studies frequently omit integrated behavioural proxies and do not quantify uncertainty with global sensitivity analyses. These weaknesses prevent clear causal tests of episodic dispersal versus low-level persistence.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tests whether climate-driven sea-level and habitat shifts produced episodic hominin dispersals into western Europe during the early to middle Pleistocene. We combine standardized multi-proxy field sampling (stratigraphy, micromorphology, OSL, ESR/U-series, tephrochronology), molecular triage (aDNA screening, enamel/dentine proteomics), unified metadata standards, inter-lab calibration, and hierarchical Bayesian chronology to produce temporally precise site chronologies with transparent uncertainties. Spatial inference uses dynamic niche models and agent-based demographic simulations parameterized by lithic mobility proxies and zooarchaeological diets. Validation uses withheld-site prediction, ensemble Monte Carlo, and global sensitivity analyses. Main contributions: (1) an explicit, reproducible Bayesian multi-method chronology that quantifies dating and stratigraphic uncertainty; (2) a context-sensitive molecular triage and destructive-sampling allocation flowchart; (3) integrated spatial-demographic models validated against withheld data. Expected outcomes: resolved timing of west European occupation pulses, ranked dispersal routes, and quantified confidence intervals for demographic and behavioural inferences.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sites: Iberian frontier (20 well-stratified sites with open-air deposits) and Doggerland corridor (20 onshore analog sites + 10 marine cores). Per-site targets: OSL samples (2–4 per stratigraphic unit), ESR/U-series teeth (1–4 per horizon), proteomics/ZooMS screens (30–50 bones per assemblage), aDNA screens (20–40 dense teeth/petrous fragments per site where preservation allows), isotopes (20–30 specimens per taxon/context), lithics recording (≥200 pieces per context). Baselines: (A) single-method chronologies without hierarchical integration; (B) niche models without behavioural/lithic inputs; (C) molecular-only inference without integrated triage; (D) uncalibrated inter-lab outputs. Evaluation metrics: chronological coherence = fraction of contexts with ≥3 concordant independent dates; posterior interval width (ky); predictive-interval coverage for date predictions (target 90% coverage); AUC for spatial predictions (target ≥0.75); Brier score for probabilistic occupancy (target ≤0.25); calibration plots and calibration slope for probability outputs; confusion matrix statistics (precision, recall, F1) for categorical route-use predictions; Cohen’s kappa for inter-lab agreement (target ≥0.7); proteomic species-ID rate (%) and aDNA genome recovery count. Experimental setup: Chronology pipeline: implement hierarchical Bayesian model (OxCal/Stan) with method-specific likelihoods and overdispersion terms; run prior/posterior sensitivity and 10,000 Monte Carlo draws; report full posterior distributions. OSL lab comparison: single-grain OSL (30–50 accepted single-grain equivalent-dose measurements per sample) versus multi-grain aliquot results; control light-exposure using darkroom transfer and steel-encased sample tubes; include SAR protocol round-robin. ESR/U-series: compare paired tooth/bone splits with two pre-treatment routines (bleach + ultrafiltration vs minimal cleaning) and report reproducibility. Molecular triage ablation: full pipeline vs (i) no proteomics, (ii) no aDNA, (iii) reduced destructive sampling (cap 2.5%). Modelling ablation: full agent-based + niche model vs niche-only and agent-only versions. Inter-lab QA: annual blind proficiency rounds with pass/fail thresholds (Cohen’s kappa ≥0.7, allowable bias range ±1 sigma relative to reference). Withheld-site validation: withhold 20% of sites (N_withheld target = 12 if total sites = 60); run 1,000 ensemble simulations and compute model-skill metrics; statistical power: Monte Carlo power analysis to detect effect size (difference in mean occupancy probability) of 0.20 with power ≥0.8 at alpha=0.05 given 12 withheld sites and 1,000 simulations. Ablation study: remove hierarchical Bayesian modelling to quantify increase in posterior interval width and loss of predictive-interval coverage; compare model skill against baselines.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Preservation failure: poor collagen or DNA yields in many Pleistocene contexts will reduce molecular sample sizes. Stratigraphic reworking: reworked deposits can bias dates and assemblage associations. Chronological limits: marine reservoir effects and sparse tephra tie-points in Doggerland can leave large age uncertainties. Inter-lab bias: remaining systematic lab biases may persist despite calibration. Sample-size constraints: destructive-sampling ceilings (≤5%) limit number of molecular/isotopic assays. Model overfitting: complex agent-based models risk overfitting given sparse empirical constraints. Computational cost: large ensemble Bayesian and sensitivity analyses require substantial compute and may be slow. Generalization: pilot-region results may not generalize to other parts of Europe or Asia. Legal/logistical: marine coring permits and museum approvals may delay sampling and reduce planned datasets. Evaluation bias: withheld-site validation power depends on true effect sizes and site count; if effect sizes are smaller than assumed, power will be insufficient.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