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misrecognition_english_policy_bgd</w:t>
      </w:r>
    </w:p>
    <w:p>
      <w:r>
        <w:t xml:space="preserve"> </w:t>
      </w:r>
    </w:p>
    <w:p>
      <w:pPr>
        <w:pStyle w:val="Heading2"/>
      </w:pPr>
      <w:r>
        <w:t>Title</w:t>
      </w:r>
    </w:p>
    <w:p>
      <w:r>
        <w:t>Mixed-methods analysis of how development-framed English-in-education policy relates to attribution and resource outcomes for low-SES students in a Bangladeshi school</w:t>
      </w:r>
    </w:p>
    <w:p>
      <w:r>
        <w:t xml:space="preserve"> </w:t>
      </w:r>
    </w:p>
    <w:p>
      <w:pPr>
        <w:pStyle w:val="Heading2"/>
      </w:pPr>
      <w:r>
        <w:t>Short Hypothesis</w:t>
      </w:r>
    </w:p>
    <w:p>
      <w:r>
        <w:t>Exposure to development-framed English-in-education policy language increases the likelihood that teachers and parents in low-SES Bangladeshi settings attribute student learning difficulties to individual deficits rather than structural or material causes.</w:t>
      </w:r>
    </w:p>
    <w:p>
      <w:r>
        <w:t xml:space="preserve"> </w:t>
      </w:r>
    </w:p>
    <w:p>
      <w:pPr>
        <w:pStyle w:val="Heading2"/>
      </w:pPr>
      <w:r>
        <w:t>Related Work</w:t>
      </w:r>
    </w:p>
    <w:p>
      <w:r>
        <w:t>Prior work in language policy and critical sociolinguistics has examined 'linguistic human capital' (the idea that language skills are economic assets) and how English teaching is framed as a route to development. Studies of governmentality (how states shape subjectivity) show that policy language can individualize social problems. Computational discourse work has used frame detection and dynamic word embeddings to track changes in policy language over time. Ethnographic studies have documented how deficit narratives affect classroom practice and family expectations. Limitations: existing studies often (1) treat texts or lived experience separately rather than linking them, (2) lack clear operational measures for 'misrecognition' (the process that recasts structural problems as individual faults), (3) rarely combine computational frame scores with experimental tests of causal effects on actors (teachers/parents), and (4) are concentrated in high-income contexts, leaving low-SES settings such as Bangladesh understudied.</w:t>
      </w:r>
    </w:p>
    <w:p>
      <w:r>
        <w:t xml:space="preserve"> </w:t>
      </w:r>
    </w:p>
    <w:p>
      <w:pPr>
        <w:pStyle w:val="Heading2"/>
      </w:pPr>
      <w:r>
        <w:t>Abstract</w:t>
      </w:r>
    </w:p>
    <w:p>
      <w:r>
        <w:t>This study tests whether development-framed English-in-education policy language produces 'misrecognition' in a low-socioeconomic (low-SES) Bangladeshi school context. We combine: (a) a focused corpus of national and local policy texts, school communications, and inspection-like documents that are annotated for eight misrecognition codes; (b) a survey experiment with teachers and parents that randomly exposes participants to development-framed versus neutral policy summaries and measures attributions about student difficulties; and (c) ethnographic interviews and focus groups with school actors to triangulate meanings. The main contribution is an integrated, reproducible pipeline that maps textual frame scores to measured changes in actor attributions and to short-term administrative indicators (referrals, support requests). Expected outcomes: (1) validated annotation schema and frame classifier for misrecognition; (2) experimental evidence on causal effects of policy framing on attribution; (3) ethnographic cases that show how text-level signals relate to practice. Findings aim to inform equitable policy and teacher training.</w:t>
      </w:r>
    </w:p>
    <w:p>
      <w:r>
        <w:t xml:space="preserve"> </w:t>
      </w:r>
    </w:p>
    <w:p>
      <w:pPr>
        <w:pStyle w:val="Heading2"/>
      </w:pPr>
      <w:r>
        <w:t>Experiments</w:t>
      </w:r>
    </w:p>
    <w:p>
      <w:r>
        <w:t>Datasets: 1) Policy corpus: n≈800 documents (national circulars, ministry letters, local school directives, 1980s–present). 2) Annotated pilot: n=400 items (300–500 recommended) stratified by era and instrument for classifier training. 3) Survey experiment: teachers n=240; parents n=240 (total n=480). 4) Ethnography: two pilot schools (deep case studies) with interviews: principals (2), English teachers (8–12), parents (16–24), student focus groups (6–10 groups). 5) Administrative indicators: school-level monthly referrals to language support, attendance, and recorded remedial allocations for the pilot schools over 24 months. Baselines: a) keyword frequency baseline (bag-of-words), b) unsupervised topic model (LDA), c) naive sentiment/wordlist frame proxy. Proposed models: supervised frame classifier (document/paragraph probabilities) trained on annotated pilot (train/validation/test split 60/20/20, locked 20% test). Evaluation metrics: classifier AUC (area under ROC curve; measures discrimination), precision/recall, Krippendorff's alpha for inter-annotator reliability (measure of agreement), Cohen's d for experimental effect sizes, logistic/linear regression coefficients with clustered SEs for admin outcomes, and p-values with two-sided tests. Survey experiment setup: preregister treatment scripts; random assignment to development-framed policy summary versus neutral summary; primary outcome = attribution index (composite score where higher = more individual-blame; index scaled 0–1). Statistical tests: t-test and linear regression controlling for respondent covariates (age, gender, education, prior exposure to policy). Power: target 80% power to detect d=0.35 per group (n≈240 each group yields power ≈0.80). Classifier ablation studies: (1) remove affective-framing code and retrain; (2) train on English-only vs mixed-language inputs; (3) vary OCR-noise injection to test robustness. Causal linkage tests: correlate school-level mean frame score (preceding 12 months) with month-on-month changes in referral rates using difference-in-differences (DiD) within pilot schools if a policy change or communications shock occurs; report clustered SEs, event-study plots, and placebo windows. Reproducibility: publish annotation split, code for classifiers, and preregister analysis scripts.</w:t>
      </w:r>
    </w:p>
    <w:p>
      <w:r>
        <w:t xml:space="preserve"> </w:t>
      </w:r>
    </w:p>
    <w:p>
      <w:pPr>
        <w:pStyle w:val="Heading2"/>
      </w:pPr>
      <w:r>
        <w:t>Risk Factors And Limitations</w:t>
      </w:r>
    </w:p>
    <w:p>
      <w:r>
        <w:t>1) External validity: pilot uses two schools and a moderate survey sample; results may not generalize across Bangladesh or other contexts. 2) Annotation bias: human coders can introduce subjective bias; measured by inter-annotator reliability but may still influence classifiers. 3) OCR and language issues: mixed Bengali-English materials may have OCR errors (character recognition errors) that distort text signals. 4) Small-sample administrative effects: school-level outcome changes may be noisy and confounded by unobserved events. 5) Ethical and disclosure risks: sensitive interview data and archival items may raise privacy concerns in small communities. 6) Model drift and temporal validity: classifiers trained on historic texts may perform worse on new language; this limits long-term deployment. 7) Resource limits: annotation, survey, and ethnography require staff and funds; constrained budgets reduce sample sizes. 8) Causal inference limits: the survey experiment tests framing effects on attitudes but linking text frame scores to real-world actions involves observational associations that may not be fully causal.</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