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artificial_creativity_eval</w:t>
      </w:r>
    </w:p>
    <w:p>
      <w:r>
        <w:t xml:space="preserve"> </w:t>
      </w:r>
    </w:p>
    <w:p>
      <w:pPr>
        <w:pStyle w:val="Heading2"/>
      </w:pPr>
      <w:r>
        <w:t>Title</w:t>
      </w:r>
    </w:p>
    <w:p>
      <w:r>
        <w:t>Evaluating creative claims of generative models using a multivariate Bayesian hierarchical analysis and composite creativity objective</w:t>
      </w:r>
    </w:p>
    <w:p>
      <w:r>
        <w:t xml:space="preserve"> </w:t>
      </w:r>
    </w:p>
    <w:p>
      <w:pPr>
        <w:pStyle w:val="Heading2"/>
      </w:pPr>
      <w:r>
        <w:t>Short Hypothesis</w:t>
      </w:r>
    </w:p>
    <w:p>
      <w:r>
        <w:t>Training a hierarchical model-of-creativity (HMCT) with the composite objective R = αN + βU + γS − δI produces outputs that occupy a strictly larger human-rated creativity Pareto-front area (novelty, usefulness, surprise) than DCN and RL-Architect baselines, with a standardized effect size of at least d = 0.4.</w:t>
      </w:r>
    </w:p>
    <w:p>
      <w:r>
        <w:t xml:space="preserve"> </w:t>
      </w:r>
    </w:p>
    <w:p>
      <w:pPr>
        <w:pStyle w:val="Heading2"/>
      </w:pPr>
      <w:r>
        <w:t>Related Work</w:t>
      </w:r>
    </w:p>
    <w:p>
      <w:r>
        <w:t>Existing approaches to generative creativity split into (1) sampling-adjusted transformers (temperature, top-p) that trade fluency for diversity, (2) diffusion models and classifier-free guidance for visual novelty, (3) retrieval-augmented generation for groundedness, and (4) intrinsic-motivation or value-based RL for exploratory behaviors. Prior evaluation work relies on separate scalar ratings (novelty, usefulness, surprise) often treated independently, and on informal Pareto notions without formal statistical tests. Weaknesses: inconsistent human-centered metrics, treating ordinal Likert data as continuous without psychometric calibration, lack of joint multivariate inference across creativity dimensions, inadequate coherence/hallucination controls, limited cross-modal transfer evaluation, and scarce preregistered decision rules or reproducible artifacts. Philosophical and epistemic questions (what counts as creativity when model internals are opaque) have been discussed qualitatively but are not operationalized in experimental pipelines.</w:t>
      </w:r>
    </w:p>
    <w:p>
      <w:r>
        <w:t xml:space="preserve"> </w:t>
      </w:r>
    </w:p>
    <w:p>
      <w:pPr>
        <w:pStyle w:val="Heading2"/>
      </w:pPr>
      <w:r>
        <w:t>Abstract</w:t>
      </w:r>
    </w:p>
    <w:p>
      <w:r>
        <w:t>This project tests whether generative models whose outputs correlate with human inputs in opaque ways satisfy empirical criteria for creativity. We combine case-study analysis (e.g., contested artworks) and a technical evaluation: train Hierarchical Model-of-Creativity Transformers (HMCT) with a composite objective R = αN + βU + γS − δI, where N = novelty, U = usefulness, S = surprise, and I = incoherence. We operationalize human judgments with calibrated psychometric anchors and a multivariate Bayesian hierarchical model to jointly infer effects on N, U, and S (coherence modeled separately). Main contributions: (1) a preregistered statistical estimand and decision rule for Pareto-front comparisons, (2) a reproducible minimal artifact (seed prompts, gold items, scripts), and (3) empirical tests comparing HMCT to canonical baselines and ablations. Expected outcome: quantifiable evidence on whether composite-objective optimization yields statistically and practically larger creativity frontiers, informing philosophical claims about AI creativity and contributing transparent evaluation tools for future work.</w:t>
      </w:r>
    </w:p>
    <w:p>
      <w:r>
        <w:t xml:space="preserve"> </w:t>
      </w:r>
    </w:p>
    <w:p>
      <w:pPr>
        <w:pStyle w:val="Heading2"/>
      </w:pPr>
      <w:r>
        <w:t>Experiments</w:t>
      </w:r>
    </w:p>
    <w:p>
      <w:r>
        <w:t>Datasets: CreativityBench seed (50 canonical prompts across text, image, audio), expanded stimulus sets per modality to reach 200 stimuli per model configuration, and a 50-item gold-standard annotated set. Participant plan: pilot N=12; main-study N=60 participants, each item rated by 5 independent annotators. Annotation: 1–7 Likert scales with explicit anchors for Novelty, Usefulness, Surprise and binary Coherence; apply Rasch-style calibration (a psychometric model that converts ordinal responses to interval scores) to map ordinal ratings to standardized z-scores. Baselines: GPT-2/GPT-Neo with temperature/top-p sampling, GPT-3-style sampling baseline, unconditional DDPM diffusion, classifier-free guided diffusion, RAG (retrieval-augmented transformer), MusicVAE for audio, ICM curiosity-only RL, value-only RL. Models under test: HMCT with composite R and variants. Metrics: calibrated N, U, S scores (z-scores), incoherence rate (discriminator binary score), composite R value, Pareto-front convex-hull area in normalized N-U-S space (compute hull area), Bayesian surprise approximations (KL between prior/posterior predictive logits using 10,20,50 MC predictive samples), and human A/B preference. Statistical analysis: multivariate Bayesian hierarchical model (joint Gaussian likelihood on calibrated scores or ordinal cumulative model if preregistered), random effects for participant and item, priors as weakly informative Normal(0,1), ROPE = [-0.1,0.1]. Decision rule: declare improvement if posterior Pr(Δ&gt;0) &gt; 0.95 and 95% posterior mass outside ROPE; report posterior intervals and dominance counts. Ablations: no-Incoherence penalty (δ=0), no-Surprise term (γ=0), no-hierarchy HMCT, adaptor-disabled cross-modal. Additional comparisons: decoder reranking with I penalty (score = log p − η I) versus integrated loss training. Reproducibility: fixed seeds, provenance metadata, Docker/conda environment, and release of minimal artifact (50 prompts, 200 outputs, 50 gold items).</w:t>
      </w:r>
    </w:p>
    <w:p>
      <w:r>
        <w:t xml:space="preserve"> </w:t>
      </w:r>
    </w:p>
    <w:p>
      <w:pPr>
        <w:pStyle w:val="Heading2"/>
      </w:pPr>
      <w:r>
        <w:t>Risk Factors And Limitations</w:t>
      </w:r>
    </w:p>
    <w:p>
      <w:r>
        <w:t>Human rating biases and cultural variability: subjective judgments of novelty/usefulness/surprise vary across populations and may bias results. Ordinal data modeling mismatch: treating 1–7 Likert as continuous without proper Rasch or ordinal models can distort inference. Discriminator miscalibration: incoherence classifier trained on biased or improperly licensed corpora can produce false positives/negatives affecting the I penalty. Compute and scalability: estimated ~800 GPU-hours may be insufficient for larger model scales; resource shortfalls could force smaller models that limit generalization. Adversarial and edge cases: models may exploit decoding or prompt artifacts to appear novel without meaningful content. Cross-modal generalization limits: findings in text may not transfer to image or audio modalities. Ethical and IP constraints: training or evaluation data provenance and licensing can restrict public release of artifacts. Mediation and causal limits: randomized α/γ perturbations may not fully identify causal pathways between latent model signals and human judgments, reducing strength of causal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