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social_cohesion_africa_measurement</w:t>
      </w:r>
    </w:p>
    <w:p>
      <w:r>
        <w:t xml:space="preserve"> </w:t>
      </w:r>
    </w:p>
    <w:p>
      <w:pPr>
        <w:pStyle w:val="Heading2"/>
      </w:pPr>
      <w:r>
        <w:t>Title</w:t>
      </w:r>
    </w:p>
    <w:p>
      <w:r>
        <w:t>Multilevel psychometric and geospatial measurement of social cohesion in Africa using household (Afrobarometer) and expert (V-Dem) data</w:t>
      </w:r>
    </w:p>
    <w:p>
      <w:r>
        <w:t xml:space="preserve"> </w:t>
      </w:r>
    </w:p>
    <w:p>
      <w:pPr>
        <w:pStyle w:val="Heading2"/>
      </w:pPr>
      <w:r>
        <w:t>Short Hypothesis</w:t>
      </w:r>
    </w:p>
    <w:p>
      <w:r>
        <w:t>Higher latent social cohesion—defined as inclusive identity, interpersonal and institutional trust, and cooperation—causes greater community resilience to localized shocks, producing smaller declines in service access and collective action after a shock.</w:t>
      </w:r>
    </w:p>
    <w:p>
      <w:r>
        <w:t xml:space="preserve"> </w:t>
      </w:r>
    </w:p>
    <w:p>
      <w:pPr>
        <w:pStyle w:val="Heading2"/>
      </w:pPr>
      <w:r>
        <w:t>Related Work</w:t>
      </w:r>
    </w:p>
    <w:p>
      <w:r>
        <w:t>Existing approaches measure social cohesion with varied constructs (trust, identity, cooperation) and methods including single-level indices, confirmatory factor analysis (CFA), and item response theory (IRT). Expert datasets (e.g., V-Dem) are used for institutional indicators while household surveys (e.g., Afrobarometer) supply interpersonal measures. Prior work shows (1) inconsistent operational definitions that mix constructs, (2) weak attention to measurement invariance across languages and contexts, (3) limited integration of expert and household data, (4) weak handling of mobile/nomadic populations, and (5) insufficient treatment of spatial privacy versus analytic utility. Methodological gaps include instability of multi-group CFA/IRT with small group sizes, lack of pre-specified DIF (differential item functioning) decision rules, and few reproducible power-simulation standards for clustered designs.</w:t>
      </w:r>
    </w:p>
    <w:p>
      <w:r>
        <w:t xml:space="preserve"> </w:t>
      </w:r>
    </w:p>
    <w:p>
      <w:pPr>
        <w:pStyle w:val="Heading2"/>
      </w:pPr>
      <w:r>
        <w:t>Abstract</w:t>
      </w:r>
    </w:p>
    <w:p>
      <w:r>
        <w:t>We present a multilevel, operational measurement framework for social cohesion in Africa that defines cohesion as three measurable attributes—inclusive identity, trust, and cooperation—each operating on horizontal (peer) and vertical (state/institution) dimensions. We combine household responses (Afrobarometer-style modules) with expert indicators (V-Dem-style) and use multigroup CFA and graded-response IRT (GRM) to estimate latent factors, test cross-context invariance, and produce comparable scores. The approach includes a pre-registered simulation grid for clustered power analyses, explicit DIF and partial-invariance decision rules, mode-effect experiments, mobility-aware sampling for nomadic groups, and adaptive-donut geomasking with Monte Carlo disclosure-risk reporting. Main contributions are: a narrow operational definition that is analytically tractable, a reproducible pipeline for psychometric validation under clustering and DIF, and a geoprivacy protocol that quantifies trade-offs. Expected outcomes include validated cohesion scales with known detection limits (latent d), documented invariance diagnostics, and spatial datasets with quantified privacy risk suitable for policy and comparative research across African contexts.</w:t>
      </w:r>
    </w:p>
    <w:p>
      <w:r>
        <w:t xml:space="preserve"> </w:t>
      </w:r>
    </w:p>
    <w:p>
      <w:pPr>
        <w:pStyle w:val="Heading2"/>
      </w:pPr>
      <w:r>
        <w:t>Experiments</w:t>
      </w:r>
    </w:p>
    <w:p>
      <w:r>
        <w:t>Datasets: (1) Existing Afrobarometer household modules and matched V-Dem expert indicators for pilot countries; (2) New pilot field surveys in 4–6 countries, target design 50 clusters × 50 respondents = 2,500 per country (minimum 40×30 = 1,200); (3) Simulated datasets for power and DIF sensitivity. Baselines: (A) simple aggregated trust index (sum-score), (B) single-level CFA, (C) single-source household-only latent score. Methods: multigroup CFA (lavaan) and graded-response IRT (mirt) to estimate latent factors; alignment optimization and Bayesian approximate invariance for comparison. Pre-specified thresholds: ΔCFI &lt;0.01, ΔRMSEA &lt;0.015, SRMR change &lt;0.03 (loadings) / &lt;0.01 (intercepts). DIF and anchor rules: loading shift negligible &lt;0.10, threshold shift negligible &lt;0.25 logit. Power sims: Monte Carlo grid, ICC ∈ {0.01,0.03,0.05,0.08,0.10,0.15}, m ∈ {20,30,40,50,60}, loadings ∈ {0.3,0.5,0.7}, DIF rates ∈ {0,5,10,20%}, effect sizes d ∈ {0.15,0.2,0.3,0.4}; 1,000 reps per cell. Evaluation metrics: parameter recovery bias and RMSE, coverage, power to detect latent-mean differences, Δ of response probabilities for given Δθ, predictive validity (change in service access and collective action; standardized effect size and R2), invariance diagnostics, re-identification risk (k-anonymity, re-id probability), RMS displacement, attenuation of spatial regression coefficients. Ablation studies: (1) include vs exclude V-Dem expert indicators, (2) full scalar invariance vs partial alignment-based scoring, (3) geomasked vs raw geodata for spatial regressions, (4) with vs without nomadic group oversampling. Mode experiment: randomized arms CAPI vs audio-assisted vs self-administered; arm sizes set by clustered power formula with target detect d=0.20 and ICC scenarios above. Missingness tests: multilevel multiple imputation (jomo/miceadds or Bayesian brms pipeline) and MNAR tipping-point analyses varying delta in [-0.0, -0.6] SD; 500–1,000 imputations/sim draws. Software and reproducibility: R scripts (lavaan, mirt, simr, brms), Stan for Bayesian models; all seeds and package versions published. Reporting: seeded scripts, decision logs, and a one-page power brief per country.</w:t>
      </w:r>
    </w:p>
    <w:p>
      <w:r>
        <w:t xml:space="preserve"> </w:t>
      </w:r>
    </w:p>
    <w:p>
      <w:pPr>
        <w:pStyle w:val="Heading2"/>
      </w:pPr>
      <w:r>
        <w:t>Risk Factors And Limitations</w:t>
      </w:r>
    </w:p>
    <w:p>
      <w:r>
        <w:t>Measurement non-invariance across languages and groups may prevent valid latent-mean comparisons; DIF may bias scores if anchor items are unstable. Pilot sizes may be insufficient for small subgroups (linguistic minorities, nomads); subgroup IRT requires n≥200 (prefer 300) for stable loadings. Geomasking reduces spatial precision and can attenuate spatial coefficients; disclosure-risk thresholds may force coarse masking. Mode effects and low literacy can change response patterns and reduce comparability. MNAR (nonrandom missingness) can bias estimates; tipping-point ranges may not cover all realistic nonresponse mechanisms. Computational costs for Monte Carlo, Bayesian, and alignment methods are high and require containerized compute resources. Legal and ethical constraints in partner countries may limit geodata sharing. Results from pilot sites may not generalize across all African contexts given historical and institutional heterogeneity.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