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effort_resistance_model</w:t>
      </w:r>
    </w:p>
    <w:p>
      <w:r>
        <w:t xml:space="preserve"> </w:t>
      </w:r>
    </w:p>
    <w:p>
      <w:pPr>
        <w:pStyle w:val="Heading2"/>
      </w:pPr>
      <w:r>
        <w:t>Title</w:t>
      </w:r>
    </w:p>
    <w:p>
      <w:r>
        <w:t>Multimodal causal and computational test of whether experienced effort arises from resisting affective behavior-guiding signals</w:t>
      </w:r>
    </w:p>
    <w:p>
      <w:r>
        <w:t xml:space="preserve"> </w:t>
      </w:r>
    </w:p>
    <w:p>
      <w:pPr>
        <w:pStyle w:val="Heading2"/>
      </w:pPr>
      <w:r>
        <w:t>Short Hypothesis</w:t>
      </w:r>
    </w:p>
    <w:p>
      <w:r>
        <w:t>Increasing the requirement to resist directed, valenced signals (e.g., hunger, pain, temptation) causes higher subjective effort reports and reduced acceptance of effortful options, and this causal effect is mediated by increased anticipatory activity in dorsal anterior cingulate cortex and anterior insula.</w:t>
      </w:r>
    </w:p>
    <w:p>
      <w:r>
        <w:t xml:space="preserve"> </w:t>
      </w:r>
    </w:p>
    <w:p>
      <w:pPr>
        <w:pStyle w:val="Heading2"/>
      </w:pPr>
      <w:r>
        <w:t>Related Work</w:t>
      </w:r>
    </w:p>
    <w:p>
      <w:r>
        <w:t>Existing approaches explain effort as a cost signal or as an opportunity-cost calculation that reduces the willingness to act; these accounts map effort to scalar cost variables and to dopaminergic vigor signals. Other lines of work link anticipatory activity in dACC/anterior insula and frontal-midline theta oscillations to effortful decisions, and peripheral markers (pupil, heart rate, EMG) to arousal and interoception. Limitations: cost-based accounts do not explain the felt phenomenology (the subjective experience) of effort, causal tests (pharmacology/TMS) are limited, single-trial neural reliability is often low, and multimodal (EEG+fMRI+physiology+EMG) integration is underdeveloped. Methodological gaps include weakly specified mediation pipelines, inconsistent adaptive calibration of effort, and insufficient pre-specified artifact thresholds for simultaneous EEG-fMRI and in-scanner exertion.</w:t>
      </w:r>
    </w:p>
    <w:p>
      <w:r>
        <w:t xml:space="preserve"> </w:t>
      </w:r>
    </w:p>
    <w:p>
      <w:pPr>
        <w:pStyle w:val="Heading2"/>
      </w:pPr>
      <w:r>
        <w:t>Abstract</w:t>
      </w:r>
    </w:p>
    <w:p>
      <w:r>
        <w:t>We test whether the felt experience of effort arises from resisting affective, behavior-guiding signals rather than from abstract cost or opportunity-cost signals. We combine a calibrated effort decision task with simultaneous fMRI, EEG, pupil, ECG, and EMG, a within-subject pharmacological manipulation (methylphenidate vs placebo), and hierarchical Bayesian computational models that embed a drift-diffusion decision process with latent expected-effort states. The main contribution is a preregistered, multimodal causal test that treats anticipatory neural activity in dACC/anterior insula and frontal-midline theta as mediators between objective resistance demands and subjective effort. Expected outcomes are: (1) causal increases in subjective effort and choice shifts when resistance demands rise, (2) trialwise mediation by anticipatory neural/physiological markers, and (3) model selection favoring the resistance-mediated account over cost-only models. Results will clarify neural and bodily mechanisms that produce the phenomenology of effort.</w:t>
      </w:r>
    </w:p>
    <w:p>
      <w:r>
        <w:t xml:space="preserve"> </w:t>
      </w:r>
    </w:p>
    <w:p>
      <w:pPr>
        <w:pStyle w:val="Heading2"/>
      </w:pPr>
      <w:r>
        <w:t>Experiments</w:t>
      </w:r>
    </w:p>
    <w:p>
      <w:r>
        <w:t>Datasets: recruit N=60 healthy adults (recommended; sensitivity range 40–70) performing 120 trials each (3 objective effort levels × 40 trials) in two sessions (drug vs placebo crossover). Each trial: fixation 0.5 s; cue (effort+reward) 1.0 s; decision window up to 2.0 s; confirmation 0.5 s; exertion epoch 8.0 s (sustained grip or cognitive load); feedback 1.0 s; ITI 2–6 s (mean 4 s). Calibration: multiplicative 1-up/1-down adaptive staircase (initial effort = 20% MVC, initial step = 5% MVC, step multiplier = 0.8 after each reversal, convergence = 8 reversals or step ≤1% MVC, max 40 trials) to set three objective effort bins. Acquisition: fMRI multiband EPI TR ≈600 ms, voxel 2.0–2.5 mm; EEG 64–128 ch raw 5000 Hz → downsample 1000 Hz after artifact correction; eye-tracker 1000 Hz; ECG 1000 Hz; MR-compatible EMG on forearm and facial muscles. Baselines: (A) cost/opportunity-cost DDM where effort acts as a scalar cost; (B) DDM mapping anticipated effort → drift rate (v); (C) DDM mapping anticipated effort → boundary separation (a) (primary). Ablations: remove physiological mediators, remove anticipatory neural regressors, and vary priors. Evaluation metrics: behavioral acceptance rate and reaction times; continuous anticipated-effort ratings; mediation effect posterior mean and 95% credible interval (hierarchical Bayesian mediation); trialwise neural contrasts: cue-locked FIR onset amplitude in dACC and anterior insula (FIR = finite impulse response, a way to estimate time-resolved BOLD responses); EEG frontal-midline theta power (200–800 ms post-cue); pupil peak amplitude baseline-corrected; exertion-phase instantaneous HR change and EMG envelope; single-trial BOLD ICC (intraclass correlation) and EEG split-half reliability; model comparison: LOO-CV ΔELPD (leave-one-out cross-validation; ΔELPD&gt;10 decisive). Statistical thresholds: ROI voxelwise p&lt;0.001 with cluster FWE p&lt;0.05 for fMRI ROIs; FDR correction for EEG/physiology. Artifact and QC pass/fail: mean FD &lt;0.2 mm (framewise displacement), censor volumes with FD&gt;0.5 mm, exclude runs with &gt;10% censored volumes; EEG gradient/ballistocardiogram residual RMS &lt;2–3 μV and SNR &gt;3 dB for candidate regressors. Analysis setup: hierarchical Bayesian joint model (choices + continuous ratings + neural/physio regressors) with priors Normal(0,0.5) on standardized parameters; mediation inference requires posterior 95% CI excluding zero. Ablation studies: compare primary mediation model vs cost-only DDM; compare full multimodal model vs models omitting EEG, pupil, or fMRI; test model robustness to prior scales (sensitivity analysis).</w:t>
      </w:r>
    </w:p>
    <w:p>
      <w:r>
        <w:t xml:space="preserve"> </w:t>
      </w:r>
    </w:p>
    <w:p>
      <w:pPr>
        <w:pStyle w:val="Heading2"/>
      </w:pPr>
      <w:r>
        <w:t>Risk Factors And Limitations</w:t>
      </w:r>
    </w:p>
    <w:p>
      <w:r>
        <w:t>Technical failure modes: excessive head motion during 8 s exertion epochs causing unusable fMRI data; low single-trial BOLD reliability (ICC below assumed 0.25) in target ROIs; severe EEG gradient or cardioballistic residuals after artifact correction making frontal-theta unusable; MR-incompatible or noisy EMG signals after artifact removal. Data and evaluation biases: participant fatigue across 120 trials changes baseline effort and creates run effects; sample non-representative of populations with real-world effort contexts; subjective reports susceptible to demand characteristics. Scalability and compute limits: hierarchical Bayesian joint models and LOO-CV for large trial×participant datasets require large compute and time; model recovery simulations may be computationally heavy. Generalization limits: lab resistance tasks (handgrip or constrained cognitive tasks) may not map directly to complex real-life effort (e.g., long-term creative work or humanities tasks). Ethical/medical constraints: pharmacology (methylphenidate) excludes cardiovascular or psychiatric participants, limiting generalizability. Measurement confounds: drug- or stimulation-induced vascular changes may alter BOLD independently of neural activity and could bias mediation unless calibrated.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