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history_therapy_trial</w:t>
      </w:r>
    </w:p>
    <w:p>
      <w:r>
        <w:t xml:space="preserve"> </w:t>
      </w:r>
    </w:p>
    <w:p>
      <w:pPr>
        <w:pStyle w:val="Heading2"/>
      </w:pPr>
      <w:r>
        <w:t>Title</w:t>
      </w:r>
    </w:p>
    <w:p>
      <w:r>
        <w:t>History therapy intervention to improve meaning-making and psychological well-being in adults: a randomized controlled trial</w:t>
      </w:r>
    </w:p>
    <w:p>
      <w:r>
        <w:t xml:space="preserve"> </w:t>
      </w:r>
    </w:p>
    <w:p>
      <w:pPr>
        <w:pStyle w:val="Heading2"/>
      </w:pPr>
      <w:r>
        <w:t>Short Hypothesis</w:t>
      </w:r>
    </w:p>
    <w:p>
      <w:r>
        <w:t>Adults who receive an eight-session history therapy intervention that integrates curated historical worldviews with structured reflective prompts will show greater improvement in presence of meaning (MLQ-P) at 12 weeks post-intervention than adults who receive an attention-matched psychoeducation control.</w:t>
      </w:r>
    </w:p>
    <w:p>
      <w:r>
        <w:t xml:space="preserve"> </w:t>
      </w:r>
    </w:p>
    <w:p>
      <w:pPr>
        <w:pStyle w:val="Heading2"/>
      </w:pPr>
      <w:r>
        <w:t>Related Work</w:t>
      </w:r>
    </w:p>
    <w:p>
      <w:r>
        <w:t>Existing approaches combine narrative psychotherapy, meaning-centered interventions, bibliotherapy, and expressive arts to support meaning-making and well-being. Past studies show that guided reflection, life-story work, and exposure to alternative narratives can change self-concept and purpose but often rely on therapist-led, non-standardized materials and small, non-randomized samples. Quantitative trials of meaning-centered interventions report modest effect sizes and limited mediation evidence for mechanistic pathways (e.g., narrative coherence, redemption sequences). Digital and archival methods have been used to present materials but seldom in controlled therapy trials; cultural adaptation and trauma-safety procedures are frequently under-specified. Major limitations are lack of standardized, replicable content curation, weak control conditions that do not fully isolate material-driven effects, insufficient handling of therapist clustering, limited pre-specified mediation tests, and scarce attention to provenance, legal rights, and cultural governance.</w:t>
      </w:r>
    </w:p>
    <w:p>
      <w:r>
        <w:t xml:space="preserve"> </w:t>
      </w:r>
    </w:p>
    <w:p>
      <w:pPr>
        <w:pStyle w:val="Heading2"/>
      </w:pPr>
      <w:r>
        <w:t>Abstract</w:t>
      </w:r>
    </w:p>
    <w:p>
      <w:r>
        <w:t>Problem: Interventions that foster deep meaning-making are promising for psychological well-being but lack a replicable, materials-driven method that leverages historical perspectives. Approach: We propose History Therapy (HT), a structured intervention that pairs curated historical worldviews and case materials with guided psychological and philosophical prompts across eight sessions. Main contribution: formalize HT for empirical testing by operationalizing materials curation, trauma-safety tagging, clinician manuals, fidelity checks, digital provenance, and a pre-registered randomized trial with mediation and mixed-methods evaluation. Expected outcome: HT will produce measurable increases in presence of meaning at 12 weeks post-intervention and identify mediators such as narrative coherence and redemption sequences. Impact: the project yields a tested, ethically governed method for integrating historical content into therapeutic practice and clarifies mechanisms linking interpretive historical exposure to sustained well-being. (Technical terms: presence of meaning = a score measuring how much a person feels life is meaningful; mediation = testing whether intermediate changes explain outcome changes.)</w:t>
      </w:r>
    </w:p>
    <w:p>
      <w:r>
        <w:t xml:space="preserve"> </w:t>
      </w:r>
    </w:p>
    <w:p>
      <w:pPr>
        <w:pStyle w:val="Heading2"/>
      </w:pPr>
      <w:r>
        <w:t>Experiments</w:t>
      </w:r>
    </w:p>
    <w:p>
      <w:r>
        <w:t>Datasets: human participant dataset collected in two phases: pilot (N=30–50) and definitive RCT (target recruit 250 to yield ≈200 analyzable after ~20% attrition); participant criteria: adults 18–70, English-speaking, no acute safety risk; stored artifacts: session transcripts, participant-created narrative artifacts, fidelity ratings, LIWC outputs. Baselines: attention-matched 8-session supportive psychoeducation control; secondary ablation arm in pilot: HT-minus-historical-materials (same prompts but generic content). Primary endpoint and metric: change in Meaning in Life Questionnaire—Presence subscale (MLQ-P) from baseline to 12 weeks post-intervention (primary contrast HT vs control). Secondary metrics: Ryff Purpose subscale, PHQ-9 (depression), GAD-7 (anxiety), WHO-5 (well-being), Narrative Coherence Scale (context/chronology/theme), LIWC-derived linguistic markers, Working Alliance Inventory (WAI), fidelity adherence (% checklist items). Randomization and design: stratified 1:1 randomization by site for RCT; pilot uses 1:1:1 for ablation. Cluster structure: participants nested within therapists; record therapist ID. Primary analysis: linear mixed model (LMM) with fixed effects for time (categorical: baseline, mid, post, 12w), group, time×group, baseline MLQ-P, prespecified covariates (age, sex, education, baseline distress, psychotropic stability), random intercept for therapist and random intercept+slope for participant; primary inference is group difference-in-change at 12 weeks. (LMM = model that handles repeated measures and clustering.) Missing data: use MICE (multiple imputation by chained equations) with predictive mean matching for continuous outcomes; set number of imputations m &gt;= percentage of incomplete cases (e.g., if 30% cases incomplete then m≥30); include all outcomes, mediators, attendance, therapist ID and demographics as auxiliaries. Mediation: test 2-1-1 multilevel mediation (treatment at between-person level, mediator measured mid-treatment, outcome at post) via multilevel SEM (MSEM) or Bayesian MSEM to obtain cluster-aware indirect effects; mediators: narrative coherence, redemption sequence index, self-continuity score. Reliability and fidelity: double-code 25% of transcripts for mediator coding and narrative measures; require inter-rater ICC ≥0.70 for continuous scales or kappa ≥0.60 for categorical codes. Ablation and sensitivity studies: (1) pilot three-arm comparison HT vs HT-minus-historical-materials vs control to isolate material effect (contrast HT vs HT-minus-historical-materials); (2) sensitivity analyses for missing-not-at-random using pattern-mixture delta adjustments and tipping-point scans; (3) robustness checks comparing AR(1) vs unstructured covariance, REML LMM vs robust sandwich SEs, and Bayesian MSEM. Power scenarios: run Monte Carlo simulations across standardized path sizes a=0.20–0.35, b=0.20–0.35, therapist ICCs 0.01–0.05 and 20% attrition to confirm target N≈250 for detectable small-to-moderate indirect effects (ab≈0.08–0.12). Pre-specification: register primary estimand (treatment-policy, intent-to-treat), primary contrast (difference-in-change at 12 weeks), imputation rules, model parameterization (time categorical), and multiplicity hierarchy (MLQ-P primary; ordered secondary tests then FDR for remaining).</w:t>
      </w:r>
    </w:p>
    <w:p>
      <w:r>
        <w:t xml:space="preserve"> </w:t>
      </w:r>
    </w:p>
    <w:p>
      <w:pPr>
        <w:pStyle w:val="Heading2"/>
      </w:pPr>
      <w:r>
        <w:t>Risk Factors And Limitations</w:t>
      </w:r>
    </w:p>
    <w:p>
      <w:r>
        <w:t>Trauma and distress: historical materials may trigger distress or retraumatization in participants; legal and provenance constraints: rights clearance or redaction could limit usable materials and slow timelines; cultural mismatch: curated histories may not resonate across diverse groups, reducing effectiveness; therapist clustering and contamination: treatment fidelity may vary and control-arm contamination could bias effect estimates; measurement and psychometrics: mediator scales (redemption, coherence) may show low reliability, limiting mediation inference; missing data: differential dropout can bias results if not missing at random; limited generalizability: pilot and English-language RCT may not generalize to other languages or settings; small effect sizes: intervention effects may be small relative to sample noise, requiring larger samples; data privacy: narrative artifacts contain sensitive content complicating sharing and governance; scalability: clinician-delivered model requires trained therapists, limiting rapid scale-up.</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