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sibhudu_single_indent_test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Single instrumented indentation testing to measure hardness and elastic stiffness of Sibhudu tool-stones and predict raw material selection and tool shape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If a single instrumented indentation protocol using Berkovich and small-radius spherical indenters and the specified load matrix is applied to Sibhudu tool-stones, then the indentation-derived hardness and reduced elastic modulus will agree with independent bulk measures within ±15% for &gt;80% of specimens and these indentation metrics will predict knapping outcomes (flake initiation energy, flake size, edge retention) with model R² ≥ 0.7.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use multiple specialised measurements to characterize tool-stone mechanics: instrumented nano/micro-indentation for local hardness and modulus (requires careful tip calibration and pop-in handling), ultrasonic or resonant methods for bulk elastic modulus, standardized fracture-toughness tests (SEVNB/chevron) for crack resistance, and macrohardness tests (Knoop/Vickers) for hardness. Limits: many studies rely on separate tests at different scales, increasing sample consumption and logistical complexity; indentation studies often lack systematic uncertainty budgets, adaptive pop-in thresholds, and cross-method calibration; bulk methods miss local heterogeneity and anisotropy; fracture proxies from indentation are incompletely validated against KIC; sampling strategies and spatial dependence of nearby indents are frequently under-specified. These gaps hinder reproducible linkage from measured mechanics to knapping performance across heterogeneous archaeological lithologies.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and validate a simplified single indentation test to obtain both hardness and elastic stiffness (reduced modulus) from archaeological tool-stone specimens from Sibhudu. The approach uses a Berkovich indenter (a three-sided pyramid tip used to measure hardness) for hardness and Oliver–Pharr modulus extraction, plus small-radius spherical indenters (10–50 µm radius) to detect pop-in events (sudden displacement bursts that indicate microcracking). We combine daily tip-area-function calibration (CAF), adaptive noise-aware pop-in thresholds, multiscale indentation loads, petrographic mapping, and micro-CT representative volume analysis to capture heterogeneity and anisotropy. Main contributions: a fully specified single-test SOP, a quantified error budget with Monte Carlo propagation, and hierarchical predictive models linking indentation metrics to knapping outcomes. Expected outcome: a low-impact, reproducible protocol that produces indentation-derived modulus and hardness comparable to bulk measures and that predicts knapping-relevant metrics with archaeologically useful accuracy, enabling broader mechanical surveys of Middle Stone Age raw materials.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Primary archaeological set: 3 dominant Sibhudu lithologies, target 30–50 specimens per lithology; per specimen define microdomains and run 30–50 indents per microdomain where possible, yielding ~200+ specimen-level aggregates. (2) Sacrificial calibration blocks: minimum N=8 per lithology for SEVNB/chevron fracture toughness (KIC). (3) Instrument/QA: fused silica daily CAF calibrations (N≥10 indents per session) and a standard transfer block for inter-instrument checks. (4) Imaging: micro-CT volumes per specimen (voxel size ≤ 5–10 µm) and polarized thin sections. Baselines: ultrasonic/resonant modulus, Knoop/Vickers hardness, SEVNB/chevron KIC, and a two-test workflow (indentation + ultrasonic). Instrument parameters: Berkovich and spherical (R=10–50 µm) indenters; loads: nano 1, 5, 10 mN; micro 50, 100, 200 mN; dwell=10 s; load/unload=5 s; LD record ≥20 kHz; CAF daily. Quality control: adaptive pop-in threshold using session noise σ_session and CAF uncertainty σ_CAF (σ_total = sqrt(σ_session^2+σ_CAF^2)); flag pop-in if amplitude &gt; k_popin*σ_total (default k_popin=3). Statistical model: hierarchical mixed-effects regressions (example: Er_ijk ~ 1 + Hardness_ijk + Orientation_ijk + PC1_petrology_k + (1|Lithology) + (1+Hardness|Specimen_k) + (1|Microdomain_j)). Validation: nested CV (outer 5-fold, inner tuning) plus stratified 20% hold-out per lithology (min 6 specimens). Evaluation metrics: percent of specimens with |E_indent - E_ultrasonic| ≤15%, RMSE (GPa), R², classification accuracy for binned knapping outcomes, Bland–Altman limits of agreement, ICC and CV for inter-operator repeats, ROC/AUC for pop-in detection. Ablations: (A) include vs exclude petrographic covariates (PCs); (B) adaptive vs fixed pop-in thresholds; (C) full load matrix vs reduced loads; (D) single-test vs two-test (indentation+ultrasonic) comparison. Power and simulations: run Monte Carlo power sweep across ICC=0.1–0.3 and effect sizes r=0.1–0.3 to justify per-lithology N and detectability.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Sample scarcity: fewer available specimens per lithology may reduce power and increase uncertainty in lithology-level inferences. 2) Heterogeneity and scale mismatch: local indentation volume may not represent bulk behavior if representative volume (RVE) is larger than indentation contact; micro-CT voxel size limits may hinder RVE definition. 3) Pop-in and cracking: frequent pop-ins or subsurface damage will reduce usable indents for Oliver–Pharr modulus extraction. 4) Instrument noise and CAF drift: high session noise or CAF instability may inflate uncertainty and bias modulus/hardness estimates. 5) Spatial non-independence: nearby indents may be autocorrelated, violating model assumptions if not modeled or down-sampled. 6) Anisotropy: fabric orientation effects may limit generalization if orientation metadata are incomplete. 7) Cross-method bias: systematic differences between indentation-derived and ultrasonic/resonant measures may persist despite calibration. 8) Fracture calibration limits: KIC tests on small sacrificial blocks may not span natural variability, limiting fracture-proxy mapping. 9) Ethical/curation limits: strict non-destructive constraints (max depth &lt;50 µm) may restrict indentation depth and signal quality. 10) Field deployment variability: portable measurements may add extra uncertainty not captured in lab-derived error budgets.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