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pygmalion_ai_narrative_policy</w:t>
      </w:r>
    </w:p>
    <w:p>
      <w:r>
        <w:t xml:space="preserve"> </w:t>
      </w:r>
    </w:p>
    <w:p>
      <w:pPr>
        <w:pStyle w:val="Heading2"/>
      </w:pPr>
      <w:r>
        <w:t>Title</w:t>
      </w:r>
    </w:p>
    <w:p>
      <w:r>
        <w:t>Mixed-methods causal and agent-based analysis of how cultural narratives and regulatory policies shape AI development metric choices and deployment outcomes</w:t>
      </w:r>
    </w:p>
    <w:p>
      <w:r>
        <w:t xml:space="preserve"> </w:t>
      </w:r>
    </w:p>
    <w:p>
      <w:pPr>
        <w:pStyle w:val="Heading2"/>
      </w:pPr>
      <w:r>
        <w:t>Short Hypothesis</w:t>
      </w:r>
    </w:p>
    <w:p>
      <w:r>
        <w:t>Higher salience of performance-oriented cultural narratives causes AI development teams to allocate a larger fraction of their evaluation weight to benchmark/performance metrics, increasing the Metric-Weighting Index relative to teams operating under weaker performance narratives.</w:t>
      </w:r>
    </w:p>
    <w:p>
      <w:r>
        <w:t xml:space="preserve"> </w:t>
      </w:r>
    </w:p>
    <w:p>
      <w:pPr>
        <w:pStyle w:val="Heading2"/>
      </w:pPr>
      <w:r>
        <w:t>Related Work</w:t>
      </w:r>
    </w:p>
    <w:p>
      <w:r>
        <w:t>Prior work spans three strands: (1) qualitative studies in science and technology studies (STS) and anthropology showing that cultural narratives and imaginaries influence engineering priorities, but these studies are often small-N and descriptive with limited causal claims; (2) policy and regulation evaluation research using difference-in-differences and event-study methods to estimate policy impacts, but such studies typically focus on single policy instruments and lack integration with organizational behavior measures; (3) computational modeling and agent-based models (ABMs) that simulate diffusion or incentive effects, but many ABMs lack calibration to rich qualitative data and do not link to empirical project-level outcomes. Limitations in current approaches include weak joint inference across qualitative and quantitative streams, limited operational measures for how narratives map to concrete metric choices, sparse causal identification of policy effects on development practices, insufficient ABM calibration/validation against case studies, and inadequate attention to privacy-safe data sharing and annotation reproducibility.</w:t>
      </w:r>
    </w:p>
    <w:p>
      <w:r>
        <w:t xml:space="preserve"> </w:t>
      </w:r>
    </w:p>
    <w:p>
      <w:pPr>
        <w:pStyle w:val="Heading2"/>
      </w:pPr>
      <w:r>
        <w:t>Abstract</w:t>
      </w:r>
    </w:p>
    <w:p>
      <w:r>
        <w:t>This study investigates how cultural narratives (e.g., performance-driven versus safety/ethics narratives) and regulatory policies interact to shape AI teams' metric choices and downstream deployment outcomes. We combine ethnographic case studies, large-scale interview coding, a time-stamped policy registry, quasi-experimental causal designs, and a calibrated agent-based model (ABM). The main contribution is an operational Metric-Weighting Index that quantifies the fraction of evaluation emphasis placed on benchmark/performance metrics versus robustness/fairness metrics, enabling causal tests of narrative and policy effects. Empirical analysis uses difference-in-differences, event studies, and instrumental-variables where possible to estimate policy impacts on multi-metric adoption and incident rates. The ABM links micro-level narrative diffusion and policy enforcement parameters to macro patterns of metric adoption and incidents, and it is validated against case-study timelines. Expected outcomes include quantified causal estimates of narrative and policy effects, validated ABM priors grounded in ethnography, and reproducible artifacts for policy and research audiences.</w:t>
      </w:r>
    </w:p>
    <w:p>
      <w:r>
        <w:t xml:space="preserve"> </w:t>
      </w:r>
    </w:p>
    <w:p>
      <w:pPr>
        <w:pStyle w:val="Heading2"/>
      </w:pPr>
      <w:r>
        <w:t>Experiments</w:t>
      </w:r>
    </w:p>
    <w:p>
      <w:r>
        <w:t>Datasets: (A) Ethnographic transcripts and fieldnotes from 4 deep cases (large lab, startup, university lab, public agency) with 12-20 interviews each; (B) 40-60 sector-wide interviews; (C) project-level registry of 200-400 AI projects compiled from procurement portals, grant databases, and public repo metadata; (D) time-stamped policy registry (statutes, procurement clauses, grant terms); (E) media corpus (CommonCrawl subset and news archives) tagged by date and jurisdiction; (F) public incident logs and regulatory enforcement reports. Primary evaluation metrics: Metric-Weighting Index (MWI), multi-metric adoption rate, incident rate per 100 deployments, annotation Cohen's kappa, ABM fit metrics (RMSE, KL divergence), and synthetic data utility parity. Metric-Weighting Index definition: for a project, classify each documented evaluation metric as benchmark-type (leaderboard/performance) or robustness-type (fairness/robustness/safety). Extract weights w_m for each metric m from explicit documentation; if explicit weights absent, infer ordinal weights (first=3, second=2, third=1) or use frequency-weight proxy (count of dedicated experiments normalized). Compute MWI = sum_{m in benchmark} w_m / sum_{all m} w_m, producing a value in [0,1]. Incident definition: any documented post-deployment failure reported within 12 months that causes material user harm, privacy breach, safety violation, or regulatory complaint; deduplicate by deployment ID and collapse events within a 30-day window. Baselines: naive pre/post comparison, DiD without matching, ABM without narrative diffusion parameter, and ABM without policy enforcement. Causal models: difference-in-differences with matched controls and clustered standard errors, event-study windows [-12,+12] months, stacked synthetic controls for low-count jurisdictions, and IV regressions using exogenous procurement deadlines or administrative scoring-rule cutoffs as instruments. Sample sizes: primary treated vs control projects 100-200 each (total 200-400). Power targets: detect absolute Δ≈0.07-0.10 in multi-metric adoption with 80% power at α=0.05 given ICC≈0.05. Annotation: pilot N=150 items, two 2-hour coder trainings, double-code high-difficulty 20% subsample, target Cohen's kappa ≥0.6 then adjudicate to ≥0.75 for critical codes. ABM experiments: ensemble of 500 runs per scenario, priors for key parameters provided as ranges (agent proportions dev/PM/regulator 0.6/0.25/0.15; narrative salience in [0,1] with Beta(2,2) prior; enforcement intensity in [0,10]; diffusion rate daily prob in [0,0.2]; reward sensitivity in [0,5]; learning rate in [0,1]). Calibration: map four case-study timelines to parameter regimes and perform Bayesian calibration. Sensitivity and ablation: run global sensitivity analysis (Sobol variance decomposition) and Morris screening; ablate narrative salience, remove policy enforcement, and vary DP epsilon for synthetic data; report RMSE, KL, and trajectory-distance for model fit and report differences in causal estimates across ablations.</w:t>
      </w:r>
    </w:p>
    <w:p>
      <w:r>
        <w:t xml:space="preserve"> </w:t>
      </w:r>
    </w:p>
    <w:p>
      <w:pPr>
        <w:pStyle w:val="Heading2"/>
      </w:pPr>
      <w:r>
        <w:t>Risk Factors And Limitations</w:t>
      </w:r>
    </w:p>
    <w:p>
      <w:r>
        <w:t>Measurement error in coding metric types and inferred weights leading to bias in MWI; selection bias and limited external validity if project registry samples are nonrepresentative; insufficient treated events or project counts reducing power below planned sensitivity; annotation drift and coder disagreement despite training and adjudication; ABM non-identifiability where multiple parameter sets produce similar macro patterns; compute and queue limits for ABM ensembles and model training given ~20,000 GPU-hour estimates; privacy-utility tradeoffs for synthetic releases where low epsilon values (strong privacy) reduce data utility; legal and cross-jurisdictional constraints (e.g., GDPR) limiting access to raw documents and incident logs; causal identification limitations if valid instruments cannot be found and if parallel-trend assumptions fail; limited generalization across sectors where narratives, governance, and technical practices differ substantially.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