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peircean_semiosis_protocol</w:t>
      </w:r>
    </w:p>
    <w:p>
      <w:r>
        <w:t xml:space="preserve"> </w:t>
      </w:r>
    </w:p>
    <w:p>
      <w:pPr>
        <w:pStyle w:val="Heading2"/>
      </w:pPr>
      <w:r>
        <w:t>Title</w:t>
      </w:r>
    </w:p>
    <w:p>
      <w:r>
        <w:t>Operationalizing Peircean semiosis in transformer models via explicit interpretant interventions to test and mitigate the hall-of-mirrors problem</w:t>
      </w:r>
    </w:p>
    <w:p>
      <w:r>
        <w:t xml:space="preserve"> </w:t>
      </w:r>
    </w:p>
    <w:p>
      <w:pPr>
        <w:pStyle w:val="Heading2"/>
      </w:pPr>
      <w:r>
        <w:t>Short Hypothesis</w:t>
      </w:r>
    </w:p>
    <w:p>
      <w:r>
        <w:t>Adding an explicit, editable interpretant module I that mediates inputs S and environment state O causes at least a 0.05 increase in the partial R^2 of model responses explained by I (triadic mediation) under randomized do(O) interventions, compared to architectures lacking the module.</w:t>
      </w:r>
    </w:p>
    <w:p>
      <w:r>
        <w:t xml:space="preserve"> </w:t>
      </w:r>
    </w:p>
    <w:p>
      <w:pPr>
        <w:pStyle w:val="Heading2"/>
      </w:pPr>
      <w:r>
        <w:t>Related Work</w:t>
      </w:r>
    </w:p>
    <w:p>
      <w:r>
        <w:t>Large language models (LLMs) and transformers have been studied for representation probing, causal mediation, and grounding using auxiliary memory or adapter modules. Probing methods (linear probes, small MLPs) find correlates of semantic variables but can conflate decoding with causal function. Activation patching and intervention methods (changing activations or weights) provide stronger causal evidence but have been applied without a stable, editable interpretant interface. Memory and retrieval-augmented models add persistent state but rarely expose structured, auditable slots that map to interpretant semantics. Work on grounding and embodied agents uses active sensing to acquire indexical signals, yet these systems often lack end-to-end causal estimands tying signs, objects, and internal hypotheses. Limitations: prior probes are often epiphenomenal (correlation not causation), architectures lack standardized intervention APIs for interpretants, stateful recency traces create latent confounding, and scaling to very large models reduces probe reliability.</w:t>
      </w:r>
    </w:p>
    <w:p>
      <w:r>
        <w:t xml:space="preserve"> </w:t>
      </w:r>
    </w:p>
    <w:p>
      <w:pPr>
        <w:pStyle w:val="Heading2"/>
      </w:pPr>
      <w:r>
        <w:t>Abstract</w:t>
      </w:r>
    </w:p>
    <w:p>
      <w:r>
        <w:t>This project tests whether an explicit interpretant module I can instantiate Peircean triadic semiosis in transformer models and thereby reduce the hall-of-mirrors effect where models reflect only surface language. The hall-of-mirrors problem is when a model’s outputs mirror training text statistics without true indexical grounding in environment states. We introduce an operational interpretant: a fixed-size vector slot (I) stored in a dedicated module with atomic read/write APIs to enable direct interventions (do(I)). We pair this with a small suite of synthetic grounding tasks with ground-truth I, and a structural causal model (SCM) that defines do-operators for signs S, objects O, and interpretants I. The main contribution is a pre-registered experimental protocol—interventions, mediation estimands, metrics (triadic partial R^2, abduction rate, interpretant stability), and baseline ablations—that yields testable causal claims about I→R effects. Expected outcome: empirical evidence whether explicit interpretants materially mediate behavior and support grounded, corrigible responses, reframing alignment as a semiotic and epistemic challenge.</w:t>
      </w:r>
    </w:p>
    <w:p>
      <w:r>
        <w:t xml:space="preserve"> </w:t>
      </w:r>
    </w:p>
    <w:p>
      <w:pPr>
        <w:pStyle w:val="Heading2"/>
      </w:pPr>
      <w:r>
        <w:t>Experiments</w:t>
      </w:r>
    </w:p>
    <w:p>
      <w:r>
        <w:t>Datasets and tasks: (1) Referential Grid Game generator gen_referential_grid.py (4 object types, deterministic mapping from utterance+seed to object_id; seeds {2026,314159,42}). (2) Procedural Symbol→Action Rules generator gen_proc_rules.py (50 deterministic rules; ground-truth rule vectors). (3) Hidden-State Narrative Simulator gen_narrative_sim.py (latent world state O evolves; ground-truth world embeddings). (4) Transfer tasks: MiniGrid navigation with short language instructions and a grounded dialogue subset. Baselines: (A) text-only SignEncoder (no multimodal S), (B) full architecture without ObjectMemory, (C) full architecture with ActiveSensing disabled, (D) frozen pretrained LM with external probes but no edit API. Model and infra: transformer backbones 100M–1B params; InterpretantModule slots D=256 per-episode; run on 8–32 A100-equivalent GPUs. Interventions and comparisons: randomized do(O) while holding S fixed; do(I) overwrite with ground-truth vectors to test sufficiency; ablations by removing modules; counterfactual rollouts by simulating alternate O trajectories. Metrics: triadic causality score = partial R^2 of R uniquely mediated by I (report bootstrap 95% CI); abduction success rate = fraction of trials where interpretant-driven hypothesis about O converges within k interactions (k specified per task); interpretant stability index = mean cosine similarity of I for same object across context shifts; probe decoding accuracy (linear and 1-layer MLP probes) on held-out episodes; effect sizes (Cohen's d) for do(I) interventions and ΔR^2 for ablations. Statistical plan: mixed-effects mediation models (episode random intercepts) and Bayesian hierarchical analogs; bootstrap cluster CIs; pre-register α=0.05, power=0.8; minimum ≥100 randomized interventions per mediation pathway and at least 5 random seeds; probe controls: permutation tests, random-label probes, capacity caps and adversarial noise (10%, 30%).</w:t>
      </w:r>
    </w:p>
    <w:p>
      <w:r>
        <w:t xml:space="preserve"> </w:t>
      </w:r>
    </w:p>
    <w:p>
      <w:pPr>
        <w:pStyle w:val="Heading2"/>
      </w:pPr>
      <w:r>
        <w:t>Risk Factors And Limitations</w:t>
      </w:r>
    </w:p>
    <w:p>
      <w:r>
        <w:t>Interpretant epiphenomenality: probes or slot vectors may correlate with but not cause behavior, producing false mechanistic claims. Latent confounding and recency traces: hidden internal state (attention carryover, transient activations) can bias mediation estimates in stateful transformers. Probe overfitting and double-descent: probes may fit idiosyncratic signals that do not generalize. Scaling limits: probe and intervention reliability may degrade beyond ~10–100B parameters and require architecture redesign. Human-edit risk: persistent interpretant edits may introduce malicious or erroneous behavior if not audited. Self-reinforcing feedback loops: closed-loop deployments can amplify model-generated artifacts and drift. Compute constraints: experiments require nontrivial GPU resources (8–32 A100-class) and may be infeasible for larger models. Transfer limits: success on synthetic tasks may not generalize to natural language, embodied, or multi-agent settings. Statistical fragility: thresholds (ΔR^2, Cohen’s d) depend on task difficulty and model size and may need recalibration after pilots.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