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tire_artificial_reef_legitimation</w:t>
      </w:r>
    </w:p>
    <w:p>
      <w:r>
        <w:t xml:space="preserve"> </w:t>
      </w:r>
    </w:p>
    <w:p>
      <w:pPr>
        <w:pStyle w:val="Heading2"/>
      </w:pPr>
      <w:r>
        <w:t>Title</w:t>
      </w:r>
    </w:p>
    <w:p>
      <w:r>
        <w:t>Combined archival text analysis and paired ecological–chemical field study to evaluate the legitimisation of tire-based artificial reefs by US federal fisheries scientists (1966–1974)</w:t>
      </w:r>
    </w:p>
    <w:p>
      <w:r>
        <w:t xml:space="preserve"> </w:t>
      </w:r>
    </w:p>
    <w:p>
      <w:pPr>
        <w:pStyle w:val="Heading2"/>
      </w:pPr>
      <w:r>
        <w:t>Short Hypothesis</w:t>
      </w:r>
    </w:p>
    <w:p>
      <w:r>
        <w:t>Tire-based artificial reefs cause higher local concentrations of tire-associated contaminants (including 6PPD-quinone, benzothiazoles, and zinc) and reduce local fish abundance by at least 20% relative to matched non-tire control sites within five years of deployment.</w:t>
      </w:r>
    </w:p>
    <w:p>
      <w:r>
        <w:t xml:space="preserve"> </w:t>
      </w:r>
    </w:p>
    <w:p>
      <w:pPr>
        <w:pStyle w:val="Heading2"/>
      </w:pPr>
      <w:r>
        <w:t>Related Work</w:t>
      </w:r>
    </w:p>
    <w:p>
      <w:r>
        <w:t>Prior empirical work on artificial reefs has compared different reef materials and measured fish attraction, but many studies have small samples, short follow-up, or lack matched controls. Laboratory leachate experiments show that tire-derived chemicals and metals can be toxic to aquatic organisms, yet laboratory conditions often overestimate exposure compared with field settings. Chemical monitoring studies of coastal sites have begun measuring tire-related markers (e.g., benzothiazoles, zinc) and the tire-wear transformation product 6PPD-quinone, but these are usually single-site or single-season studies with limited detection validation and few inter-lab comparisons. Historical and STS work has examined how technical claims are constructed inside agencies, but prior archival projects often focus on public-facing documents and lack prosopographic network data or quantitative text-mining with documented OCR/coder reliability. Computational DH approaches (OCR, NER, topic models, SNA) have been applied to policy corpora, yet reported error rates and coder agreement are frequently missing. Overall limitations: few integrated studies combine rigorous archival claim-tracing with paired, replicated field chemistry and ecology, inadequate MDL/MDL-verification reporting for novel analytes (e.g., 6PPD-quinone), sparse inter-lab proficiency testing, and limited attention to reproducible OCR/NLP error metrics.</w:t>
      </w:r>
    </w:p>
    <w:p>
      <w:r>
        <w:t xml:space="preserve"> </w:t>
      </w:r>
    </w:p>
    <w:p>
      <w:pPr>
        <w:pStyle w:val="Heading2"/>
      </w:pPr>
      <w:r>
        <w:t>Abstract</w:t>
      </w:r>
    </w:p>
    <w:p>
      <w:r>
        <w:t>This project tests whether US federal fisheries scientists’ historical claims about tire-based artificial reefs are supported by field evidence of contamination and ecological impact. We combine archival text analysis (FOIA, agency files, oral histories) with paired ecological and chemical field measurements at tire-reef and matched non-tire control sites. Archival work will map claim networks and trace language used to legitimize tire use; computational pipelines will report OCR error rates and coder agreement. Field work will measure fish abundance (video baited remote underwater video, BRUV), benthic cover (diver transects), sediment chronology (Pb-210/Cs-137), passive and grab water chemistry, microplastic proxies, and bioassays of tire leachate. Chemical targets include 6PPD-quinone (a tire-transformation product), benzothiazoles (tire additives), PAHs, and trace metals; labs will run inter-lab comparisons and MDL verification. Main contribution: a reproducible, cross-validated link between archival legitimation rhetoric and empirical evidence of contaminant loads and ecological responses. Expected outcome: clear, testable adjudication of historical claims and operational SOPs for regulatory-grade assessment of waste-material reefs.</w:t>
      </w:r>
    </w:p>
    <w:p>
      <w:r>
        <w:t xml:space="preserve"> </w:t>
      </w:r>
    </w:p>
    <w:p>
      <w:pPr>
        <w:pStyle w:val="Heading2"/>
      </w:pPr>
      <w:r>
        <w:t>Experiments</w:t>
      </w:r>
    </w:p>
    <w:p>
      <w:r>
        <w:t>Datasets: 1) Archival corpus: FOIAed and repository documents from NOAA, DOI, EPA and congressional hearings; target ~2000–5000 pages prioritized by archival leads. 2) Oral histories: 20–30 semi-structured interviews transcribed verbatim. 3) Field ecological/chemical data: BRUV deployments (300 total: 150 tire, 150 control), diver transects (320 total: 20 transects/site × 8 sites per treatment), sediment cores (3–5 cores per site cluster, depth 30–50 cm, 1-cm slices upper 10–15 cm), passive samplers (POCIS for polar, SPMD/low-density PE for hydrophobic compounds) triplicate per site deployed 14–28 days, co-located grab water samples (10 grabs per site per season), biota samples for tissue analysis (n=10 individuals/species per site). Laboratory leachate ecotoxicity assays: 5 concentrations + negative and positive controls, 4 replicates per concentration, 20 amphipods/replicate. Baselines: matched non-tire control sites with similar depth, substrate, and distance from shore; historical pre-deployment records when available; field blanks and procedural blanks. Analytical plan: target analytes—6PPD-quinone (tire transformation product), benzothiazoles, EPA 16 PAHs, selected tire antioxidants/accelerators, Zn, Pb, Cd, Cu, Ni; microplastic proxies via µFTIR (&gt;20 µm) and pyrolytic GC-MS for polymer mass. MDL verification: split-sample inter-lab testing with 2–3 accredited labs and spike-recovery experiments. Sample-size justification: BRUVs aim to detect 20% abundance change at 80% power (alpha=0.05) under negative-binomial dispersion (CV 0.6–1.0); transect counts aim for 20–30 transects/site to stabilize percent-cover estimates. Statistical models: GLMMs (negative binomial for counts; Gaussian for transformed continuous variables) with random effects for site and transect; GAMMs or spatial GLMMs for spatial autocorrelation; PERMANOVA/NMDS for community composition; Bayesian hierarchical models for multi-site inference. Prior and sensitivity analyses: run prior predictive checks using priors—treatment log-effect ~ Normal(0,0.3); site SD ~ Half-Normal(0,0.5); NB overdispersion k ~ Exponential(1); perform sensitivity runs with wider and narrower priors; report how posterior inferences change. Comparisons/ablations: (A) with vs without passive samplers (assess value of time-weighted sampling), (B) accredited lab A vs lab B (inter-lab variability), (C) full analyte panel vs reduced panel (cost vs information), (D) Bayesian priors: conservative vs weakly informative. Evaluation metrics: primary chemical metrics—sediment and water concentrations (ng/g dry weight or ng/L), MDL and LOQ achieved; primary ecological metrics—total fish abundance, species-specific abundance, species richness, percent cover; statistical power to detect 20% change; QA metrics—blank levels, percent recovery, relative percent difference (RPD) for duplicates, OCR error rate target (&lt;5%), inter-rater reliability (Cohen's kappa &gt;0.7) for archival coding. Deliverables per experiment: power-simulation scripts, SAP with pre-specified contrasts, QA/QC SOPs, inter-lab MDL report, and pilot validation report (archival OCR, one tire site + one control ecological pilot, lab MDL pilot).</w:t>
      </w:r>
    </w:p>
    <w:p>
      <w:r>
        <w:t xml:space="preserve"> </w:t>
      </w:r>
    </w:p>
    <w:p>
      <w:pPr>
        <w:pStyle w:val="Heading2"/>
      </w:pPr>
      <w:r>
        <w:t>Risk Factors And Limitations</w:t>
      </w:r>
    </w:p>
    <w:p>
      <w:r>
        <w:t>FOIA and archival access delays or heavy redactions limiting claim tracing. Lack of stable commercial standards or limited availability for 6PPD-quinone and metabolites; unstable standards could raise MDLs. Inter-lab variability and failure to reach MDL targets for low-ng/L analytes. Sample contamination risk from rubber equipment or field materials. Spatial heterogeneity causing high variance and reduced power; pilot variance may force larger sample sizes. Limited temporal window—two-year pilot cannot fully capture five-year deployment effects. Micro/nanoplastic measurement limits: true nanoplastics (&lt;1 µm) not reliably measured; proxies and thermal methods only approximate mass. OCR errors and coder disagreement in archival coding may bias network inferences if error rates are high. Legal or permitting constraints could restrict site access or sampling cadence. Generalization limits: results from Sandy Hook and selected Florida sites may not apply to all reef types, climates, or larger-engineered deployments.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