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samatha_vipasyana_emendation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reproducible hermeneutical pipeline combining philological weighting and preregistered meditation praxis to resolve ambiguous śamatha–vipaśyanā readings in the Saṃdhinirmocanasūtra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translator-lineage weighted philological evidence with preregistered experiential markers from meditator pilots causes higher emendation reliability (agreement with an external expert panel and inter-annotator agreement) than philological analysis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includes traditional critical philology and stemma codicum methods that prioritize manuscript attestation and palaeography, digital-humanities pipelines using TEI encoding and CollateX for collation, translator-theory studies that classify translation strategies, and small-scale phenomenological meditation studies that preregister markers. Limitations: philology-focused approaches rarely quantify translator strategy or integrate cross-language translator-lineage modifiers; digital collations often omit doctrinal ontologies and reproducible weighting schemes; prior praxis studies do not link preregistered experiential markers back into emendation decisions; and published pipelines often lack containerized, unit-tested code and formal sensitivity analyses of weight choices.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develops and tests a reproducible hermeneutical pipeline to adjudicate ambiguous readings of combined śamatha and vipaśyanā passages in the Saṃdhinirmocanasūtra. The pipeline encodes manuscript witnesses in TEI, applies a translator-lineage informed weighting rubric to Sanskrit, Tibetan, and Chinese readings, and optionally incorporates preregistered experiential markers from meditation pilots as confirmatory evidence. Main contributions are: (1) a single numeric weighting table with documented sensitivity analysis, (2) an auditable emendation log format, (3) a TEI/JSON-LD ontology mapping for meditation terms, and (4) an experimental protocol that measures whether adding praxis evidence improves emendation reliability. Expected outcomes are a reproducible decision procedure for emendations, open digital artifacts (TEI, CollateX outputs, Dockerized pipelines), and empirical evidence showing whether experiential convergence can validly raise textual-confidence scores without introducing circularity.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corpus of all available Saṃdhinirmocanasūtra witnesses: diplomatic Sanskrit transcriptions from identified manuscripts (target ≥10 Sanskrit exemplars where available), Tibetan editions and manuscript witnesses from TBRC/BDRC, and Chinese translations; (b) meditator pilot data: within-subject crossover N=24 (12 experienced, 12 novices) using two preregistered protocols derived from competing readings. Baselines: (1) philology-only decision pipeline (Sanskrit + palaeography + doctrinal fit), (2) translator-lineage weighted pipeline without praxis, (3) praxis-only confirmation. Preselected test set: 20 ambiguous loci previously noted in commentary tradition. Metrics: composite emendation agreement with external expert panel (proportion agreement), inter-annotator agreement (Cohen's kappa; kappa explained as a measure of annotator reliability), sensitivity of decisions under weight perturbation (±10–20%), bootstrap confidence intervals for composite scores, and meditator outcome statistics (proportion reporting preregistered marker, effect sizes, p-values). Setup: encode texts in TEI, run CollateX collation, compute criterion scores (0–1) per locus, aggregate with proposed weights to produce composite scores; implement pipeline in container (Docker) with unit tests. Statistical tests: compare pipelines using paired tests on agreement rates and kappa; run mixed-effects models for meditator markers: outcome ~ condition * time + (1 + condition | participant); ablations: remove praxis criterion, remove Tibetan weight, apply lineage modifier variations, and run sensitivity analysis varying each weight ±10–20%. Reproducibility: preregister all analysis scripts and seed values; provide Docker images and CI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Limited manuscript access may reduce Sanskrit witness count and bias attestation; translator-lineage assignments can be uncertain and introduce systematic error; small pilot N limits power for mediator analyses and may yield false negatives; experiential reports are subjective and may be influenced by expectation effects despite blinding of coders; coder disagreement can persist even with training, limiting emendation reliability; ontology and mapping choices may not generalize beyond this sutra or Yogācāra contexts; computational scaling of collation and sensitivity analysis grows with witness count and may require substantial compute; ethical risks include handling sensitive phenomenological data and maintaining participant anonymity; results showing praxis influence do not prove historical intent and could be misread as circular if not transparently logged.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