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guerrecontre_circulation</w:t>
      </w:r>
    </w:p>
    <w:p>
      <w:r>
        <w:t xml:space="preserve"> </w:t>
      </w:r>
    </w:p>
    <w:p>
      <w:pPr>
        <w:pStyle w:val="Heading2"/>
      </w:pPr>
      <w:r>
        <w:t>Title</w:t>
      </w:r>
    </w:p>
    <w:p>
      <w:r>
        <w:t>Computational and archival comparative analysis to detect transnational circulation of torture techniques originating in the French guerre contre-révolutionnaire</w:t>
      </w:r>
    </w:p>
    <w:p>
      <w:r>
        <w:t xml:space="preserve"> </w:t>
      </w:r>
    </w:p>
    <w:p>
      <w:pPr>
        <w:pStyle w:val="Heading2"/>
      </w:pPr>
      <w:r>
        <w:t>Short Hypothesis</w:t>
      </w:r>
    </w:p>
    <w:p>
      <w:r>
        <w:t>If French guerre contre-révolutionnaire doctrine caused adoption of specific torture procedures in other states, then recipient manuals and reports will exhibit statistically significant textual signals (citation overlap and procedural n-gram overlap) and documented personnel links with French donor sources at rates greater than expected under randomized corpora.</w:t>
      </w:r>
    </w:p>
    <w:p>
      <w:r>
        <w:t xml:space="preserve"> </w:t>
      </w:r>
    </w:p>
    <w:p>
      <w:pPr>
        <w:pStyle w:val="Heading2"/>
      </w:pPr>
      <w:r>
        <w:t>Related Work</w:t>
      </w:r>
    </w:p>
    <w:p>
      <w:r>
        <w:t>Prior approaches fall into three strands: (1) intellectual and archival history that traces ideas and personnel but often relies on qualitative inference and single-case narratives; (2) computational text-reuse and stylometric methods that detect copying or influence using n-gram overlap, citation network analysis, and topic models but are typically applied to modern, single-language corpora and do not model OCR/transcription error; (3) prosopographical and network studies that map personnel flows but often lack systematic linkage to textual procedure transfers. Limitations: most work is single-jurisdiction or monolingual, lacks pre-registered quantitative thresholds, ignores OCR/transcription uncertainty, seldom triangulates multiple indicators (textual, personnel, material), and rarely integrates legal/ethical provenance controls needed for accountability contexts.</w:t>
      </w:r>
    </w:p>
    <w:p>
      <w:r>
        <w:t xml:space="preserve"> </w:t>
      </w:r>
    </w:p>
    <w:p>
      <w:pPr>
        <w:pStyle w:val="Heading2"/>
      </w:pPr>
      <w:r>
        <w:t>Abstract</w:t>
      </w:r>
    </w:p>
    <w:p>
      <w:r>
        <w:t>This project tests whether the French doctrine of guerre contre-révolutionnaire functioned as a transnational intellectual framework that materially shaped torture procedures used in later counterinsurgency campaigns. We combine archival digitization, manual coding, and computational text analysis to measure textual and personnel circulation across colonial and Cold War archives. The approach uses multiple indicators: citation overlap (shared bibliographic references), procedural n-gram overlap (near‑verbatim procedure text), and personnel overlap (same officers/advisers appearing in donor and recipient rosters). Main contributions are: (1) a reproducible, pre-registered inference rubric linking multi-indicator thresholds to operating characteristics (power and false-positive rates); (2) simulation-calibrated thresholds that account for OCR and transcription error; and (3) an annotated pilot corpus and validation sets for precision/recall testing. Expected outcome: a testable, transparent mapping of documentary pathways that can distinguish confirmed transfer from plausible convergence while preserving provenance and ethical controls.</w:t>
      </w:r>
    </w:p>
    <w:p>
      <w:r>
        <w:t xml:space="preserve"> </w:t>
      </w:r>
    </w:p>
    <w:p>
      <w:pPr>
        <w:pStyle w:val="Heading2"/>
      </w:pPr>
      <w:r>
        <w:t>Experiments</w:t>
      </w:r>
    </w:p>
    <w:p>
      <w:r>
        <w:t>Datasets: (A) Pilot corpus of 300–500 digitized items from Service historique de la Défense, Archives nationales d'outre-mer, Archives nationales (Paris), École de guerre curricula, ministerial correspondence, medical/legal journals, officer memoirs, and fallback digitized collections (Gallica, HathiTrust, Internet Archive); (B) technical seed set of 12–15 canonical texts for model training and OCR tuning; (C) comparative recipient corpora from Algeria (1945–1962), Indochina (1945–1954), Argentine state security manuals (1960s–1980s), and selected U.S. counterinsurgency manuals. Baselines: (1) permutation null model that randomizes donor/recipient labels while preserving lengths and genre (permutation test); (2) stylometric-only baseline using cosine similarity on TF-IDF vectors; (3) topic-model baseline (LDA) measuring shared topic prevalence; (4) personnel-network-only baseline using node overlap. Metrics: citation overlap percentage (fraction of donor citations present in recipient corpus), procedural n-gram overlap percentage (fraction of normalized procedure tokens in common; an n-gram is a sequence of n words), permutation p-values (5,000–10,000 permutations), precision/recall/F1 for extraction tasks (NER, citation detection, procedure extraction), Cohen's kappa for manual coding (report 95% CI), ROC and PR curves for threshold selection, false positive rate (FPR) and false negative rate (FNR) under simulated OCR error. Experimental setup: preprocessing includes OCR (Kraken/Tesseract), language detection, orthographic normalization, TEI metadata encoding, authority linking (VIAF/GeoNames), deduplication and bibliographic linkage; extract citations and procedural passages automatically and validate on labeled sets; run Monte Carlo simulations varying corpus sizes n={50,200,500} and OCR error rates {0%,5%,15%,30%} with 1,000 iterations per cell to calibrate thresholds for power ≥0.8; perform permutation tests at document and paragraph unit levels with Benjamini–Hochberg correction for multiple tests. Ablation studies: (A) remove OCR correction step to measure effect of transcription error; (B) drop personnel-linkage indicator to measure dependence on prosopography; (C) use only citation overlap or only n-gram overlap to compare single-indicator vs multi-indicator inference. Validation: evaluate extraction modules on a stratified labeled validation set (target size 500 labeled passages stratified by genre and period) and report precision/recall/F1 and kappa with 95% CIs.</w:t>
      </w:r>
    </w:p>
    <w:p>
      <w:r>
        <w:t xml:space="preserve"> </w:t>
      </w:r>
    </w:p>
    <w:p>
      <w:pPr>
        <w:pStyle w:val="Heading2"/>
      </w:pPr>
      <w:r>
        <w:t>Risk Factors And Limitations</w:t>
      </w:r>
    </w:p>
    <w:p>
      <w:r>
        <w:t>Technical OCR errors that inflate false positives or obscure matches; limited or delayed archival access and rights restrictions affecting dataset completeness; survivorship and digitization bias that distort representativeness; multilingual and script variation (French, Arabic, Spanish, Portuguese) requiring scarce paleography expertise; measurement error propagation from OCR/transcription into inference without perfect correction; compute and storage limits for large permutation/simulation workloads; causal limits: textual overlap shows association not proof of deliberate transmission; confounding from shared public sources, templates, or reprints that mimic transfer; legal and data-protection constraints (national archives rules, GDPR) limiting public release and reproducibility; ethical risk from handling sensitive content involving torture victims and personnel; limited generalization to non-documented or oral transmission channels.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