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genz_heritage_lpp</w:t>
      </w:r>
    </w:p>
    <w:p>
      <w:r>
        <w:t xml:space="preserve"> </w:t>
      </w:r>
    </w:p>
    <w:p>
      <w:pPr>
        <w:pStyle w:val="Heading2"/>
      </w:pPr>
      <w:r>
        <w:t>Title</w:t>
      </w:r>
    </w:p>
    <w:p>
      <w:r>
        <w:t>Combining questionnaire surveys and ERP (LPP) measures to model Generation Z preference formation for cultural heritage landscapes</w:t>
      </w:r>
    </w:p>
    <w:p>
      <w:r>
        <w:t xml:space="preserve"> </w:t>
      </w:r>
    </w:p>
    <w:p>
      <w:pPr>
        <w:pStyle w:val="Heading2"/>
      </w:pPr>
      <w:r>
        <w:t>Short Hypothesis</w:t>
      </w:r>
    </w:p>
    <w:p>
      <w:r>
        <w:t>Differences between traditional and modern cultural heritage landscape images cause reliably different LPP amplitudes (300–800 ms) in Generation Z, and adding single-trial LPP measures to questionnaire predictors increases explained variance in explicit preference ratings.</w:t>
      </w:r>
    </w:p>
    <w:p>
      <w:r>
        <w:t xml:space="preserve"> </w:t>
      </w:r>
    </w:p>
    <w:p>
      <w:pPr>
        <w:pStyle w:val="Heading2"/>
      </w:pPr>
      <w:r>
        <w:t>Related Work</w:t>
      </w:r>
    </w:p>
    <w:p>
      <w:r>
        <w:t>Prior work on Generation Z and cultural heritage has relied mainly on self-report surveys, digital storytelling, and engagement metrics (for example, preferences for digital access, gamified tours, and narrative formats). Neuroaesthetic and ERP studies of visual aesthetics established the late positive potential (LPP) as a marker of sustained affective/cognitive engagement to images, but these studies rarely combine robust psychometrics, stimulus provenance, and crossed subject×item designs for heritage content. Existing approaches are limited by (1) reliance on explicit reports that miss implicit processing, (2) small or weakly controlled stimulus sets that confound low-level image features with semantic content, (3) averaging ERP analyses that reduce sensitivity to individual differences, and (4) underpowered designs that ignore crossed random effects of subjects and stimuli. There is a gap for an integrated, preregistered pipeline that quantifies how explicit survey constructs and implicit neural measures jointly predict preferences for culturally meaningful landscapes.</w:t>
      </w:r>
    </w:p>
    <w:p>
      <w:r>
        <w:t xml:space="preserve"> </w:t>
      </w:r>
    </w:p>
    <w:p>
      <w:pPr>
        <w:pStyle w:val="Heading2"/>
      </w:pPr>
      <w:r>
        <w:t>Abstract</w:t>
      </w:r>
    </w:p>
    <w:p>
      <w:r>
        <w:t>We address how Generation Z forms preferences for cultural heritage landscapes by integrating questionnaire measures with event-related potentials (ERP). We use the late positive potential (LPP; 300–800 ms after image onset) as an implicit neural index of affective and meaning-related engagement and combine it with validated survey scales measuring familiarity, cultural meaning, and explicit preference. The main contribution is an explicit–implicit dual-pathway model tested with crossed single-trial mixed models that include subject and stimulus random effects and stimulus-level covariates for low-level image statistics. Expected outcomes are (1) confirmatory evidence that landscape type (traditional vs modern) modulates LPP amplitude, (2) increased prediction of explicit preference when single-trial LPP is added to survey predictors, and (3) a reproducible preregistered pipeline for stimuli QC, EEG preprocessing, ICA transfer, and multilevel power simulations. Results will inform heritage-tourism targeting and methodological best practices for combining psychometrics with neural measures.</w:t>
      </w:r>
    </w:p>
    <w:p>
      <w:r>
        <w:t xml:space="preserve"> </w:t>
      </w:r>
    </w:p>
    <w:p>
      <w:pPr>
        <w:pStyle w:val="Heading2"/>
      </w:pPr>
      <w:r>
        <w:t>Experiments</w:t>
      </w:r>
    </w:p>
    <w:p>
      <w:r>
        <w:t>Datasets:</w:t>
        <w:br/>
        <w:t>- Survey dataset: N = 250 (target 200–400) Generation Z participants (16–25 years) completing validated scales (familiarity, cultural meaning, explicit preference). "CFA" refers to confirmatory factor analysis (a statistical test that checks if survey items measure proposed factors).</w:t>
        <w:br/>
        <w:t>- ERP dataset: within-subject design, N = 60–90 participants, stimulus set = 120 images (60 traditional, 60 modern) balanced across provenance and visual metrics. Each image shown 1 time per block; raw trials per condition aimed 80–100 to yield ≥40 clean trials after rejection.</w:t>
        <w:br/>
        <w:t>Baselines:</w:t>
        <w:br/>
        <w:t>- Baseline A: questionnaire-only regression predicting explicit preference (no EEG).</w:t>
        <w:br/>
        <w:t>- Baseline B: averaged ERP window analysis (participant-averaged LPP per condition) added to questionnaire predictors.</w:t>
        <w:br/>
        <w:t>- Proposed: single-trial linear mixed model (LMM) with single-trial LPP as predictor (LMM = a regression that models trial-level data and random effects for subject and stimulus).</w:t>
        <w:br/>
        <w:t>- Preprocessing ablations: ICA-highpass 1.0 Hz vs 0.5 Hz for decomposition; amplitude rejection thresholds ±100 µV vs ±75 µV; inclusion vs omission of low-level stimulus PCs.</w:t>
        <w:br/>
        <w:t>Evaluation metrics:</w:t>
        <w:br/>
        <w:t>- Confirmatory ERP contrasts: mean LPP difference (µV) between landscape types; two-sided p-value from cluster-based permutation (5000 permutations) and effect size d.</w:t>
        <w:br/>
        <w:t>- Model fit/predictive power: marginal R^2 and conditional R^2 for LMMs; change in R^2 when adding LPP to questionnaire-only model; AIC/BIC for model comparison.</w:t>
        <w:br/>
        <w:t>- Psychometrics: CFA fit indices: CFI, RMSEA, SRMR; reliability omega ≥ 0.70.</w:t>
        <w:br/>
        <w:t>- Reliability and power: ICCs (intra-class correlations) for subject and stimulus variance; Monte Carlo simulation operating characteristics (power vs N and trials).</w:t>
        <w:br/>
        <w:t>- Additional: classification AUC when predicting high vs low explicit preference (median split) as secondary metric.</w:t>
        <w:br/>
        <w:t>Experimental setup and preprocessing (precise):</w:t>
        <w:br/>
        <w:t>- Presentation: fixation 500 ms → image 800 ms → post-image fixation jitter 1000–1400 ms → rating onset 1200–1600 ms after image offset → rating window ≤2000 ms. TTL markers: fixation onset, image onset (condition code), image offset, rating onset, response; photodiode for sync.</w:t>
        <w:br/>
        <w:t>- EEG acquisition: 64 channels, sample rate ≥500 Hz, reference Cz online.</w:t>
        <w:br/>
        <w:t>- Preprocessing pipeline: import → remove bad channels (interpolate ≤5% channels) → copy and high-pass filter copy at 1.0 Hz for ICA → bandpass original at 0.1–30 Hz (notch 50/60 Hz if needed) → run AMICA/Extended-Infomax on 1.0 Hz copy → transfer ICA weights to 0.1 Hz data → remove artifact ICs (ICLabel threshold &gt;0.7 + visual check) → re-reference to average → epoch −200 to 1000 ms → baseline −200 to 0 ms → automatic artifact rejection ±100 µV and gradient checks → require ≥40 clean trials/condition.</w:t>
        <w:br/>
        <w:t>- Primary ROI: mean LPP 300–800 ms averaged over channels Cz, CPz, Pz, CP1, CP2, P1, P2.</w:t>
        <w:br/>
        <w:t>Modeling and tests:</w:t>
        <w:br/>
        <w:t>- Primary confirmatory contrasts preregistered: (1) main effect of landscape_type on single-trial LPP, (2) landscape_type × preference_rating interaction, (3) main effect of familiarity.</w:t>
        <w:br/>
        <w:t>- Single-trial LMM: DV = trial LPP (300–800 ms); fixed effects = landscape_type (contrast-coded), mean-centered preference_rating, familiarity, top stimulus low-level PCs, trial_number; random effects = intercepts for subject and stimulus, random slope for landscape_type by subject; include AR(1) residuals per subject if diagnostics warrant.</w:t>
        <w:br/>
        <w:t>- Multiple-comparison control: family A (confirmatory ROI tests) use Holm procedure for the small set of preregistered contrasts; family B time-resolved tests use cluster permutation; family C CFA tests use FDR.</w:t>
        <w:br/>
        <w:t>Ablations and comparisons:</w:t>
        <w:br/>
        <w:t>- Compare predictive gain (ΔR^2) of single-trial LMM vs averaged-ERP vs questionnaire-only.</w:t>
        <w:br/>
        <w:t>- Compare preprocessing choices (1.0 Hz ICA vs 0.5 Hz) by correlating single-trial LPP amplitudes and test whether ICA transfer preserves LPP (correlation and mean difference).</w:t>
        <w:br/>
        <w:t>- Test effect of including vs excluding stimulus low-level PCs on fixed-effect estimates.</w:t>
        <w:br/>
        <w:t>Power and simulations:</w:t>
        <w:br/>
        <w:t>- Publish Monte Carlo code: simulate crossed subject×stimulus LMMs with variance components drawn from pilot or literature; sweep N_subj (30–120), N_stim (60–240), and trials per stimulus; report operating characteristics for target contrast effect d≈0.35 and recommend final N based on 80% power.</w:t>
        <w:br/>
        <w:t>Reproducibility:</w:t>
        <w:br/>
        <w:t>- Containerize pipeline (Docker), publish stimulus metadata CSV/JSON, and preregister analysis code and simulated operating characteristics.</w:t>
      </w:r>
    </w:p>
    <w:p>
      <w:r>
        <w:t xml:space="preserve"> </w:t>
      </w:r>
    </w:p>
    <w:p>
      <w:pPr>
        <w:pStyle w:val="Heading2"/>
      </w:pPr>
      <w:r>
        <w:t>Risk Factors And Limitations</w:t>
      </w:r>
    </w:p>
    <w:p>
      <w:r>
        <w:t>Technical failure modes: low EEG SNR leading to fewer than 40 clean trials per condition; ICA transfer may not fully preserve slow LPP components if preprocessing choices differ; nonconvergence or overfitting in complex random-effects models. Data and evaluation biases: sample limited to recruited Generation Z cohorts may not generalize geographically or socio-culturally; stimulus selection may retain unmeasured cultural biases despite metadata. Scalability and compute: Monte Carlo crossed simulations and ICA (AMICA) require substantial CPU/time and may limit iterative exploration. Limits to generalization: effects observed for Jingdezhen stimuli or selected heritage types may not generalize to other regions or non-visual heritage formats (audio, VR). Ethical and sharing constraints: culturally sensitive images may require restricted access, reducing full public reproducibility; parental consent rules may limit sample composition. Statistical risks: underestimated between-stimulus variance can bias power estimates; multiple comparisons across time and channels risk false positives if confirmatory contrasts are not strictly adhered to.</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