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homogeneity_risk_perception_systemic_risk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Text-mining estimation of corporate risk-perception homogeneity and its causal effect on systemic financial risk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Increases in cross-firm homogeneity of perceived risks, measured from corporate risk-factor disclosures, causally raise systemic financial risk metrics (e.g., SRISK, CoVaR) following exogenous information shocks.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has used text mining to extract firm-level risk signals and applied dimensionality reduction (principal component analysis, static factor models) or state-space methods to summarize common variation. Other streams estimate interconnectedness and contagion using observed networks, stress-testing, and agent-based models (ABMs). Limitations across these approaches include: static summaries that neglect time variation in common signals; little formal treatment of measurement error in text-derived indices; sparse treatment of partial network observability and link uncertainty; limited causal identification linking perception measures to systemic outcomes (few high-frequency IV or RD designs); and scarce propagation of uncertainty from text measurements through IV/ABM pipelines. Existing ABM/LFI (likelihood-free inference) calibrations often lack pre-specified summary statistics and tolerance rules, reducing identifiability. Reproducibility and privacy-preserving data sharing (e.g., differentially private synthetic panels) are also underdeveloped.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whether alignment in firms’ perceived risks—measured from textual risk-factor disclosures—amplifies systemic financial risk. We propose a reproducible pipeline that (1) extracts firm-level perceived-risk signals with text mining, (2) constructs time-varying homogeneity indices H_t via three parallel estimators (PCA, static latent-factor, Bayesian state-space), and (3) tests causal links from H_t to systemic risk measures (SRISK, CoVaR) using exogenous information shocks (high-frequency Fed surprises, index reconstitutions) as instruments. We propagate measurement uncertainty from H_t into causal estimates and into a calibrated ABM to quantify mechanical amplification of contagion under varying homogeneity. Main contributions are: a pre-specified ensemble of H_t estimators with uncertainty propagation; rigorous causal identification plans with weak-IV contingencies; network-reconstruction with posterior link ensembles; and an ABM calibrated by likelihood-free inference with pre-registered summary statistics. Expected outcomes include evidence on whether and when perception homogeneity increases tail systemic risk, uncertainty-aware systemic risk estimates, and reproducible artifacts for policy stress testing.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firm risk-factor disclosures (annual 10-K and quarterly 10-Q risk sections), intraday FOMC minutes and timestamped Fed communication measures, index reconstitution dates (S&amp;P/FTSE), firm-level market data (daily returns, option-implied volatility, CDS spreads), balance-sheet variables (assets, leverage, liquid assets), and a survey pilot (n=150 pilot, target n=200). Sample: S&amp;P 500 and large-cap firms, monthly aggregation from 2005–2023 (≈216 months). H_t estimators: (A) PCA H_t^PCA = 1 − λ1,t where λ1,t is fraction of cross-sectional variance from PC1 of standardized text signals; (B) static latent-factor H_t^LF from X_t = Λ f_t + ε_t; (C) Bayesian state-space H_t^BS with f_t evolving and full posterior. Measurement uncertainty: obtain posterior draws (BS) and block-bootstrap samples (PCA, LF); generate 1,000 H_t draws for propagation. Causal identification: Two-stage least squares (2SLS) specification: Stage1 H_t_draw = π Z_t + γ X_it + α_i + τ_t + u_it; Stage2 Y_it+h = β Ĥ_t + δ X_it + α_i + τ_t + ε_it. Outcomes Y include SRISK, CoVaR, horizon h = 1,3,6 months, and firm tail-loss indicators. Instruments Z: FedSurprise_t (intraday ±30min aggregated), IndexReconstitutionDummy_t. Controls X: log assets, leverage, Tobin's Q, sector-specific time trends. Standard errors: cluster by firm, use Driscoll–Kraay for cross-section dependence; report Anderson–Rubin/CLR if weak-IV. Baselines: OLS (no instrument), naive average-homogeneity (mean dispersion), PCA-only pipeline, and ensemble stacking. Network reconstruction: Bayesian ERGM and latent-space models; evaluate held-out edge prediction (AUC, precision@k). ABM calibration: use ABC-SMC with pre-specified summary statistics S = {cascade-size distribution quantiles, return comovement moments, 1%-tail loss frequency, leverage distribution, price-impact elasticity}; tolerance schedule ε_t = {0.5,0.25,0.1} relative to scaled statistics; run 50k simulations in pilot. Evaluation metrics: first-stage F, minimum detectable effect (MDE) for β with power 0.8 (report MDE), 95% CI coverage for β across propagated draws, change in SRISK and CoVaR percentiles, KS-test for cascade-size fit (target p&gt;0.05), AUC for network edges, and calibration RMSE for ABM moments. Ablations: (1) compare results when ignoring H_t measurement uncertainty vs propagating draws; (2) compare PCA vs Bayesian state-space as primary estimator; (3) instrumented IV vs OLS; (4) ABM calibration with and without posterior network uncertainty. Reproducibility: deliver Docker image, pinned dependencies, and synthetic DP dataset with reported epsilon/delta.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Text coverage and quality: some firms use boilerplate or sparse risk text, reducing signal; sparse text yields noisy H_t and larger measurement error. 2) Measurement error: biased or high-variance H_t estimates can attenuate causal estimates; posterior propagation may not fully correct bias if error is nonclassical. 3) Weak instruments: Fed-surprise or index shocks may produce weak first-stage variation (low F), undermining LATE identification and inflating CI widths. 4) Endogeneity channels: instruments may violate exclusion if they affect firm fundamentals contemporaneously (intraday news leakage). 5) Network misspecification: Bayesian ERGM/latent-space priors may misrepresent true exposure topology, biasing contagion metrics. 6) ABM identifiability: high-dimensional parameter spaces may be non-identifiable under chosen summary statistics, producing multimodal posteriors. 7) Compute limits: ABC-SMC and particle filters require large compute; limited resources will restrict simulation budgets and precision. 8) Survey biases: pilot responses may be non-representative, strategic, or low-response, limiting behavioral inference. 9) Privacy-utility trade-off: differential privacy for synthetic data reduces utility as epsilon decreases; choice of epsilon/delta constrains reproducibility. 10) External validity: results from large-cap US firms and chosen crises may not generalize to small firms or other jurisdictions.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