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llm_mh_diagnosis_treatment_survey</w:t>
      </w:r>
    </w:p>
    <w:p>
      <w:r>
        <w:t xml:space="preserve"> </w:t>
      </w:r>
    </w:p>
    <w:p>
      <w:pPr>
        <w:pStyle w:val="Heading2"/>
      </w:pPr>
      <w:r>
        <w:t>Title</w:t>
      </w:r>
    </w:p>
    <w:p>
      <w:r>
        <w:t>Systematic evaluation of large language models for automated diagnosis and treatment support in mental health care</w:t>
      </w:r>
    </w:p>
    <w:p>
      <w:r>
        <w:t xml:space="preserve"> </w:t>
      </w:r>
    </w:p>
    <w:p>
      <w:pPr>
        <w:pStyle w:val="Heading2"/>
      </w:pPr>
      <w:r>
        <w:t>Short Hypothesis</w:t>
      </w:r>
    </w:p>
    <w:p>
      <w:r>
        <w:t>Fine-tuning a large language model on clinician-annotated mental-health text increases sensitivity for detecting imminent suicide to at least 0.95 on held-out clinical notes compared to the same model without clinical fine-tuning.</w:t>
      </w:r>
    </w:p>
    <w:p>
      <w:r>
        <w:t xml:space="preserve"> </w:t>
      </w:r>
    </w:p>
    <w:p>
      <w:pPr>
        <w:pStyle w:val="Heading2"/>
      </w:pPr>
      <w:r>
        <w:t>Related Work</w:t>
      </w:r>
    </w:p>
    <w:p>
      <w:r>
        <w:t>Existing approaches apply language models and simpler machine-learning methods to symptom extraction, risk scoring, therapeutic chatbots, and clinician decision support. Prior systems often rely on small or single-site datasets, rule-based mappings to scales (e.g., PHQ-9), or logistic models on bag-of-words features. Limitations include poor calibration (predicted probabilities do not match observed risk), limited subgroup validation (race, age, language), lack of prospective or multi-site evaluation, inadequate privacy guarantees, sparse or inconsistent annotation protocols, weak faithfulness of explanations, and almost no standardized adversarial or out-of-distribution (OOD) testing. Many studies report accuracy or AUC but omit clinically actionable thresholds, decision-analytic trade-offs (false alarms vs missed cases), and workload estimates, leaving open questions about real-world safety, fairness, and regulatory readiness.</w:t>
      </w:r>
    </w:p>
    <w:p>
      <w:r>
        <w:t xml:space="preserve"> </w:t>
      </w:r>
    </w:p>
    <w:p>
      <w:pPr>
        <w:pStyle w:val="Heading2"/>
      </w:pPr>
      <w:r>
        <w:t>Abstract</w:t>
      </w:r>
    </w:p>
    <w:p>
      <w:r>
        <w:t>We address how large language models (LLMs) can be evaluated for automated diagnosis and treatment support in mental health using clinical text. The study proposes a systematic experimental pipeline: fine-tune LLMs on clinician-annotated notes and paired structured measures, evaluate calibrated risk predictions (calibration means predicted probabilities align with observed outcomes), test subgroup fairness, measure explainability faithfulness, and run privacy and adversarial probes. The main contribution is a reproducible evaluation suite that ties model metrics (sensitivity, calibration, net benefit) to actionable clinical thresholds and workload estimates. Expected outcomes are (1) quantifiable gains from clinical fine-tuning on sensitivity for imminent suicide detection, (2) calibration and subgroup performance profiles that inform decision thresholds, and (3) empirical privacy-utility curves for differential privacy settings. Results will produce preregistered thresholds and evaluation artifacts to guide safe, testable deployment of LLM-based mental-health assistants.</w:t>
      </w:r>
    </w:p>
    <w:p>
      <w:r>
        <w:t xml:space="preserve"> </w:t>
      </w:r>
    </w:p>
    <w:p>
      <w:pPr>
        <w:pStyle w:val="Heading2"/>
      </w:pPr>
      <w:r>
        <w:t>Experiments</w:t>
      </w:r>
    </w:p>
    <w:p>
      <w:r>
        <w:t>Datasets: (A) Multi-site de-identified EHR clinical notes linked to structured measures (PHQ-9, GAD-7, C-SSRS) pooled to include ≥200 positive imminent-suicide events; if base rate is low, use enriched case-control sampling to reach 200 positives. (B) Consent-based narrative corpus (patient journals, crisis transcripts) n≈5k–10k for robustness tests. Data splits: site-stratified train/val/test (60/20/20) with held-out sites for external validation. Baselines: (1) Same LLM without clinical fine-tuning (pretrained), (2) Logistic regression on TF-IDF + structured measures, (3) Clinical rule score (C-SSRS derived), (4) Smaller transformer fine-tuned only on structured labels. Models and training: fine-tune transformer LLMs to output risk probability and evidence spans; calibration via Platt scaling and isotonic regression on validation. Privacy/federated setup: DP-SGD runs with epsilons {0.1,0.5,1.0}, delta=1e-5, clipping norms {1,3,5} and accounting via moments accountant; federated aggregated training with secure aggregation for one experiment. Evaluation metrics: sensitivity (true positive rate), specificity, PPV, AUC, Brier score, calibration-in-the-large (difference between mean predicted and observed risk), calibration slope, subgroup metrics (sensitivity and calibration by age, sex, race/ethnicity, language), decision-analytic net benefit and expected alerts per 10k patients, time-to-decision (seconds), and clinician workload (alerts per clinician per week). Explainability metrics: insertion/deletion fidelity (change in model output when evidence spans removed/added), counterfactual impact (change in probability for targeted edits), and human-rated plausibility on 200 examples (3 raters). Privacy metrics: membership-inference advantage and reconstruction risk. Adversarial/OOD tests: energy score and Mahalanobis distance on embeddings, ensemble uncertainty (deep ensemble variance), and red-team prompts including paraphrase/noise and RAG provenance poisoning. Threshold selection: choose operating thresholds on validation to target sensitivity ≥0.95 for imminent flags; report implications for alerts per 10k. Ablations: (A) remove clinician annotations (train on weak labels only), (B) remove calibration step, (C) disable retrieval/grounding module, (D) DP noise levels comparison (epsilons as above). Statistical tests: bootstrap 95% CIs for all primary metrics; compare models with paired permutation test for sensitivity and AUC. Reproducibility: publish preprocessing scripts, annotation schema examples, calibration code, and evaluation scripts.</w:t>
      </w:r>
    </w:p>
    <w:p>
      <w:r>
        <w:t xml:space="preserve"> </w:t>
      </w:r>
    </w:p>
    <w:p>
      <w:pPr>
        <w:pStyle w:val="Heading2"/>
      </w:pPr>
      <w:r>
        <w:t>Risk Factors And Limitations</w:t>
      </w:r>
    </w:p>
    <w:p>
      <w:r>
        <w:t>Low event rate: imminent suicide is rare, making representative sampling and stable subgroup estimates difficult. Annotation subjectivity: clinician labels vary and can limit label reliability. Privacy vs utility: DP and federated methods may substantially reduce model usefulness, especially for large LLM fine-tuning, and computing DP for LLMs is resource intensive. Explainability bounds: saliency and span-based explanations may not be faithful to LLM reasoning. OOD and adversarial robustness: text adversaries and novel language idioms can cause unsafe outputs. Generalization limits: models trained on specific sites, languages, or cultures may not generalize. Compute and cost: training large models with DP or federated secure aggregation increases compute and budget needs. Regulatory uncertainty: classification as clinical decision support or medical device can require prospective trials and extended timelines. Workload and PPV: high sensitivity operating points can generate many false alerts and clinician burden, reducing practical utility. Audit log privacy: retaining detailed audit trails raises re-identification risks if not carefully governed.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