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military_directors_audit_quality_pk</w:t>
      </w:r>
    </w:p>
    <w:p>
      <w:r>
        <w:t xml:space="preserve"> </w:t>
      </w:r>
    </w:p>
    <w:p>
      <w:pPr>
        <w:pStyle w:val="Heading2"/>
      </w:pPr>
      <w:r>
        <w:t>Title</w:t>
      </w:r>
    </w:p>
    <w:p>
      <w:r>
        <w:t>Staggered difference-in-differences and instrumental-variable analysis of how military-experienced board appointments affect accrual and real earnings management in Pakistani non-financial firms</w:t>
      </w:r>
    </w:p>
    <w:p>
      <w:r>
        <w:t xml:space="preserve"> </w:t>
      </w:r>
    </w:p>
    <w:p>
      <w:pPr>
        <w:pStyle w:val="Heading2"/>
      </w:pPr>
      <w:r>
        <w:t>Short Hypothesis</w:t>
      </w:r>
    </w:p>
    <w:p>
      <w:r>
        <w:t>Appointing one or more military-experienced directors to a corporate board causes a reduction in both accrual-based and real earnings management in the two years following appointment relative to firms that do not appoint such directors.</w:t>
      </w:r>
    </w:p>
    <w:p>
      <w:r>
        <w:t xml:space="preserve"> </w:t>
      </w:r>
    </w:p>
    <w:p>
      <w:pPr>
        <w:pStyle w:val="Heading2"/>
      </w:pPr>
      <w:r>
        <w:t>Related Work</w:t>
      </w:r>
    </w:p>
    <w:p>
      <w:r>
        <w:t>Existing research links board composition and director attributes to earnings management and audit outcomes using cross-sectional regressions, fixed-effects panels, difference-in-differences (DiD), and instrumental-variable (IV) designs. Prior work distinguishes accrual-based manipulation (changes in accounting entries) from real-activity manipulation (real operational choices) but often studies them separately and with limited measurement validation. Studies of ‘‘military’’ or veteran directors are sparse and typically descriptive, with limited causal identification and small samples. Audit-quality proxies (Big4 engagement, audit fees, restatements) are widely used but imperfect and subject to measurement noise. Methodological gaps include endogenous director selection (firms may recruit veterans after shocks), weak or unvalidated instruments, bias from measurement error in director background coding, and staggered treatment timing that can bias standard DiD estimators. In emerging markets, limited disclosure and audit-data coverage further constrain causal claims. These weaknesses motivate rigorous staggered-DiD, IV checks, and explicit misclassification correction.</w:t>
      </w:r>
    </w:p>
    <w:p>
      <w:r>
        <w:t xml:space="preserve"> </w:t>
      </w:r>
    </w:p>
    <w:p>
      <w:pPr>
        <w:pStyle w:val="Heading2"/>
      </w:pPr>
      <w:r>
        <w:t>Abstract</w:t>
      </w:r>
    </w:p>
    <w:p>
      <w:r>
        <w:t>This study examines whether appointing military-experienced directors to corporate boards causally changes earnings-management behavior and audit outcomes in Pakistani non-financial firms. We estimate the average treatment effect on treated firms (ATT) using staggered difference-in-differences methods and complementary instrumental-variable strategies that exploit exogenous veteran-supply shocks. We separately analyze accrual-based earnings management (manipulating accounting entries) and real earnings management (operational decisions affecting cash flows), and we test whether external audit quality moderates effects. We implement a coder-validated military-status measure and apply validation-based measurement-error correction. Main contributions are: (1) a causal estimate of military-experience effects on two types of earnings management in an emerging market context, (2) explicit correction for misclassification in director coding, and (3) mechanistic tests linking changes to audit-quality indicators. Expected outcomes are statistically and economically meaningful reductions in manipulation measures when military directors are appointed, with stronger effects where audit quality is high.</w:t>
      </w:r>
    </w:p>
    <w:p>
      <w:r>
        <w:t xml:space="preserve"> </w:t>
      </w:r>
    </w:p>
    <w:p>
      <w:pPr>
        <w:pStyle w:val="Heading2"/>
      </w:pPr>
      <w:r>
        <w:t>Experiments</w:t>
      </w:r>
    </w:p>
    <w:p>
      <w:r>
        <w:t>Datasets: firm-year panel of non-financial firms listed on the Pakistan Stock Exchange (2010–2022); director biographies from BoardEx / company filings / DEF 14A equivalents; accounting fundamentals from Compustat/Orbis or PSX financials; audit variables (auditor identity, audit fees, going-concern, restatements) from AuditAnalytics-equivalent sources or firm filings; regional veteran-supply measures and base-closure/timing from public policy records. Baselines: (A) OLS with firm and year fixed effects; (B) Callaway-Sant'Anna staggered DiD (CSA) estimating group-time ATT; (C) Sun–Abraham and De Chaisemartin–D'Haultfoeuille robustness estimators; (D) IV two-stage least squares using local veteran-supply shocks as instruments; (E) propensity-score matched DiD. Treatment definition: first appointment of a military-experienced director (binary); alternates: count/share on board and audit-committee veteran indicator. Outcomes: modified-Jones discretionary accruals (accrual EM), Roychowdhury-style real-activity composite (real EM), Big4 auditor dummy, abnormal audit-fee growth, restatements, going-concern opinions. Evaluation metrics: ATT point estimates and 95% bootstrap CIs, clustered SEs at firm level, first-stage F-statistic and partial R2 for IVs, Cohen's d and MDEs from Monte Carlo, intercoder Cohen's kappa for military coding. Experimental setup: event window leads t=-4..-1 and lags t=0..+4; primary inference on t=-2..+2; cluster SEs at firm, wild-cluster bootstrap when clusters &lt;50; validation subsample (10–15%) for misclassification estimation; apply validation-calibration correction and SIMEX sensitivity. Ablations: (1) raw vs corrected for misclassification, (2) CSA vs plain two-way FE DiD, (3) binary treatment vs intensity (count/share), (4) with vs without audit-quality interaction, (5) excluding firms with anticipatory hiring (pre-treatment trend fails), (6) placebo outcomes (lagged ROA, revenue growth). Pre-specified diagnostics: joint pre-trend F-test (bootstrap p-value), standardized lead magnitude, balance tables for matched samples, and weak-IV robust AR/CLR tests.</w:t>
      </w:r>
    </w:p>
    <w:p>
      <w:r>
        <w:t xml:space="preserve"> </w:t>
      </w:r>
    </w:p>
    <w:p>
      <w:pPr>
        <w:pStyle w:val="Heading2"/>
      </w:pPr>
      <w:r>
        <w:t>Risk Factors And Limitations</w:t>
      </w:r>
    </w:p>
    <w:p>
      <w:r>
        <w:t>Residual confounding: firms may hire veterans after adverse shocks or governance changes, biasing causal estimates. Measurement error: incomplete or ambiguous biography data can misclassify military status; validation sample may be small. Weak instruments: candidate IVs (base-closures, recruitment programs) may be weak or violate exclusion. Small sample and clustering: limited number of treated firms or clustered structure can reduce power and inflate SEs. Data coverage: audit-fee and enforcement data quality in Pakistan may be incomplete. Attrition and missingness: intermittent panel gaps can bias dynamic estimates. External validity: results from Pakistan may not generalize to other institutional contexts. Mediation limits: mediator–outcome confounding may prevent clean mediation identification. Legal/licensing constraints: access to BoardEx or audit databases may be restricted, delaying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