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saudi_21st_skills_integration</w:t>
      </w:r>
    </w:p>
    <w:p>
      <w:r>
        <w:t xml:space="preserve"> </w:t>
      </w:r>
    </w:p>
    <w:p>
      <w:pPr>
        <w:pStyle w:val="Heading2"/>
      </w:pPr>
      <w:r>
        <w:t>Title</w:t>
      </w:r>
    </w:p>
    <w:p>
      <w:r>
        <w:t>A sequential exploratory mixed-methods evaluation of English and mathematics teachers' integration of 21st-century skills and barriers in Saudi Arabian schools</w:t>
      </w:r>
    </w:p>
    <w:p>
      <w:r>
        <w:t xml:space="preserve"> </w:t>
      </w:r>
    </w:p>
    <w:p>
      <w:pPr>
        <w:pStyle w:val="Heading2"/>
      </w:pPr>
      <w:r>
        <w:t>Short Hypothesis</w:t>
      </w:r>
    </w:p>
    <w:p>
      <w:r>
        <w:t>Schools receiving a targeted professional development and instructional support package will have higher observed teacher practice composite scores for 21st-century skills (communication, collaboration, critical thinking, creativity) than control schools after one academic term.</w:t>
      </w:r>
    </w:p>
    <w:p>
      <w:r>
        <w:t xml:space="preserve"> </w:t>
      </w:r>
    </w:p>
    <w:p>
      <w:pPr>
        <w:pStyle w:val="Heading2"/>
      </w:pPr>
      <w:r>
        <w:t>Related Work</w:t>
      </w:r>
    </w:p>
    <w:p>
      <w:r>
        <w:t>Existing work on 21st-century skills in schooling emphasizes interdisciplinary curricula, digital literacy, and teacher professional development. Many evaluations rely on self-reports or single-method designs, limiting objective measurement of classroom practice. Prior approaches often lack subject-specific observation rubrics (English vs. mathematics), formal measurement invariance testing across language and gender-segregated settings, and robust multilevel power calculations for cluster trials. Studies rarely report reliable inter-rater metrics for classroom observation or propagate uncertainty in intraclass correlations (ICC) into sample-size decisions. Barriers consistently identified include resource constraints, traditional teacher-centered methods, and contextual policy differences, but evidence on how these barriers map to observed classroom practice and student performance in the Saudi context remains limited. There is a gap in mixed-methods, preregistered cluster-randomized designs that combine validated observation rubrics, performance tasks, and qualitative enquiry to explain mechanisms and barriers.</w:t>
      </w:r>
    </w:p>
    <w:p>
      <w:r>
        <w:t xml:space="preserve"> </w:t>
      </w:r>
    </w:p>
    <w:p>
      <w:pPr>
        <w:pStyle w:val="Heading2"/>
      </w:pPr>
      <w:r>
        <w:t>Abstract</w:t>
      </w:r>
    </w:p>
    <w:p>
      <w:r>
        <w:t>This study examines how English and mathematics teachers in Saudi Arabian schools integrate four core 21st‑century skills (communication, collaboration, critical thinking, creativity) into classroom instruction and identifies major barriers to such integration. We use a sequential exploratory mixed-methods design: qualitative interviews and observations to refine instruments, followed by a pilot cluster randomized trial (school-level randomization) combining independent classroom observations, rubric-scored student performance tasks, teacher surveys, and fidelity logs. Main contributions are (1) validated English- and math-specific observation rubrics and student task rubrics with psychometric evidence, (2) empirical estimates of teacher practice and student task effect sizes and ICCs to inform a definitive trial, and (3) a mapped set of contextual barriers with quantitative triangulation. Expected outcomes include reliable measures of 21st-century skill integration, plausible minimal detectable effects for scale-up, and actionable evidence on barriers that policymakers and teacher development programs can use to plan interventions aligned with national priorities.</w:t>
      </w:r>
    </w:p>
    <w:p>
      <w:r>
        <w:t xml:space="preserve"> </w:t>
      </w:r>
    </w:p>
    <w:p>
      <w:pPr>
        <w:pStyle w:val="Heading2"/>
      </w:pPr>
      <w:r>
        <w:t>Experiments</w:t>
      </w:r>
    </w:p>
    <w:p>
      <w:r>
        <w:t>Datasets: sample of Saudi schools stratified by region (urban/rural), gender-segregation, and school type (public/private); pilot: 12–20 schools (balanced arms); target trial scenarios: 40–60 schools (20–30 per arm); within each school observe 3–8 teachers and sample 25–35 students per class for student tasks. Baselines: current-practice control (no new PD) and treatment (PD + coaching + instructional materials). Baseline data collection: teacher demographics, prior training, baseline teacher practice proxy, baseline student proficiency. Metrics: primary teacher outcome = standardized teacher practice composite (continuous, SD=1) from independent observations; primary student outcome = standardized grade-banded 21st-century performance task score (rubric-scored); secondary metrics = teacher self-report, teacher efficacy, lesson artifacts quality, fidelity scores, technology use metrics, inter-rater ICC for observers, and cluster ICCs for outcomes. Evaluation metrics: standardized mean difference (effect size), estimated ATE (average treatment effect) with 95% CI, p-values (two-sided alpha=0.05), cluster-robust SEs with small-sample correction (e.g., CR2), intraclass correlation coefficients (ICC), and psychometric fit indices (CFI, RMSEA, SRMR) for rubrics. Experimental setup: school-level covariate-constrained randomization (balance on region, gender-seg, school size, school type); teachers nested in schools = two-level mixed model for teacher outcome (random intercepts for schools); students nested in classes nested in schools = three-level mixed model for student outcome (random intercepts for class and school). Covariate adjustment: pre-specified set (region, gender-seg, school type, urban/rural, baseline school mean, average teacher experience, baseline student score, school size). Missing data: multilevel multiple imputation (impute item-level first, passive imputation for composites), m≥50 imputations; report trace plots and diagnostics. Comparisons/ablations: (A) compare subject-specific composites (English-only, Math-only) vs cross-subject composite; (B) ablate fidelity adjustment (model with and without fidelity covariate) to assess mediation vs confounding; (C) interaction tests for treatment × gender-segregation and treatment × region (report exploratory p-values; treat confirmatory only with ≥20 clusters per subgroup cell). Power sensitivity: report MDE tables across ICCs 0.05–0.15 and attrition 10–20%; pilot analyses used to update design via simulation (powerlmm/simr).</w:t>
      </w:r>
    </w:p>
    <w:p>
      <w:r>
        <w:t xml:space="preserve"> </w:t>
      </w:r>
    </w:p>
    <w:p>
      <w:pPr>
        <w:pStyle w:val="Heading2"/>
      </w:pPr>
      <w:r>
        <w:t>Risk Factors And Limitations</w:t>
      </w:r>
    </w:p>
    <w:p>
      <w:r>
        <w:t>Measurement risk: observation rubrics may fail psychometric tests or measurement invariance across Arabic/English versions and gender-segregated settings (limits pooling). Observer reliability risk: low inter-rater ICC (&lt;0.75) reduces validity of primary teacher outcome. Consent risk: refusal of audio/video recording may limit triangulation and reduce quality of calibration data. Missing data risk: high attrition or systematically missing groups (MNAR) can bias estimates and complicate imputation. Power risk: fewer clusters than planned will inflate MDEs and limit ability to detect moderate effects or interactions. Contamination risk: teacher networks across schools could dilute treatment contrast. Generalizability limit: findings may be specific to Saudi policy, curricula, and gender-segregated schooling and may not transfer to other countries. Resource limits: budget or travel constraints may reduce number of clusters, observation frequency, or quality assurance (observer calibration). Ethical/regulatory risk: MOE approvals or data governance constraints may restrict data sharing and replication. Computational/analytic limits: multilevel MI and complex simulations require specialist statistical software and expertise, which may constrain reproducibility if capacity is limited.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