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socialcap_digilit_ses_cn</w:t>
      </w:r>
    </w:p>
    <w:p>
      <w:r>
        <w:t xml:space="preserve"> </w:t>
      </w:r>
    </w:p>
    <w:p>
      <w:pPr>
        <w:pStyle w:val="Heading2"/>
      </w:pPr>
      <w:r>
        <w:t>Title</w:t>
      </w:r>
    </w:p>
    <w:p>
      <w:r>
        <w:t>Longitudinal causal mediation analysis using TMLE to evaluate how digital literacy and social capital shape socioeconomic status effects on higher-education access in China</w:t>
      </w:r>
    </w:p>
    <w:p>
      <w:r>
        <w:t xml:space="preserve"> </w:t>
      </w:r>
    </w:p>
    <w:p>
      <w:pPr>
        <w:pStyle w:val="Heading2"/>
      </w:pPr>
      <w:r>
        <w:t>Short Hypothesis</w:t>
      </w:r>
    </w:p>
    <w:p>
      <w:r>
        <w:t>Higher socioeconomic status causally increases the probability of college application and enrollment in Chinese high-school graduates, and this effect is partially mediated by higher digital literacy (skills to use online application and aid systems), with the mediated effect differing by levels of social capital (support and network ties).</w:t>
      </w:r>
    </w:p>
    <w:p>
      <w:r>
        <w:t xml:space="preserve"> </w:t>
      </w:r>
    </w:p>
    <w:p>
      <w:pPr>
        <w:pStyle w:val="Heading2"/>
      </w:pPr>
      <w:r>
        <w:t>Related Work</w:t>
      </w:r>
    </w:p>
    <w:p>
      <w:r>
        <w:t>Prior work shows links between socioeconomic status (SES), digital skills, social capital, and higher-education outcomes. Existing studies typically use cross-sectional regressions or group comparisons that estimate associations but not causal mediation. Many papers measure digital literacy by self-report only, which can be noisy. Network or social-capital studies often ignore timing and spillovers (how peers affect outcomes). Linkage to administrative outcomes (applications, enrollment, aid) is rare and often treated as perfect even when records are uncertain. Methods that address time-varying confounders, measurement error, linkage uncertainty, and moderated mediation are underused. Limitations include: (1) weak causal identification in observational designs, (2) biased mediation estimates when the mediator is mismeasured, (3) failure to propagate record-linkage error into inference, (4) limited attention to interference/spillovers, and (5) lack of reproducible, preregistered analytic pipelines.</w:t>
      </w:r>
    </w:p>
    <w:p>
      <w:r>
        <w:t xml:space="preserve"> </w:t>
      </w:r>
    </w:p>
    <w:p>
      <w:pPr>
        <w:pStyle w:val="Heading2"/>
      </w:pPr>
      <w:r>
        <w:t>Abstract</w:t>
      </w:r>
    </w:p>
    <w:p>
      <w:r>
        <w:t>This study investigates whether and how socioeconomic status (SES) affects Chinese high-school graduates' access to higher education through digital literacy, and whether social capital changes that mediated pathway. We use longitudinal mediator timing, psychometrically validated hybrid digital-literacy measures (task performance plus self-report), ego-network measures of social capital, administrative outcomes (application submission, FAFSA/aid filing, enrollment, persistence), and linkage-aware inference. The main analytic approach is longitudinal targeted minimum loss-based estimation (TMLE; a robust causal estimator that uses machine learning for nuisance parts) to estimate total, natural indirect, and natural direct effects, and moderated mediation by social capital. We incorporate probabilistic record linkage with multiple-link imputation to propagate match uncertainty, run Monte Carlo simulations to set sample targets and minimum detectable effects, and pre-register measurement, timing, and sensitivity rules. Expected contributions: clearer causal estimates of mediation by digital literacy, explicit quantification of moderation by social capital, validated methods to include linkage uncertainty in inference, and reproducible, policy-relevant estimates about mechanisms reproducing inequality in college access.</w:t>
      </w:r>
    </w:p>
    <w:p>
      <w:r>
        <w:t xml:space="preserve"> </w:t>
      </w:r>
    </w:p>
    <w:p>
      <w:pPr>
        <w:pStyle w:val="Heading2"/>
      </w:pPr>
      <w:r>
        <w:t>Experiments</w:t>
      </w:r>
    </w:p>
    <w:p>
      <w:r>
        <w:t>Datasets: (1) existing survey of 629 high-school graduates across western, central, eastern Chinese provinces with linked administrative outcomes where available; (2) Year-1 pilot datasets from two partner districts (n≈200–500 per district) with weekly digital-literacy probes; (3) synthetic datasets for Monte Carlo (MC) with configurable ICCs, mediator variance, autocorrelation, and linkage error rates. Baselines: (A) logistic/linear regression with covariates; (B) standard structural equation mediation (SEM) on cross-sectional data; (C) marginal structural model with IPTW (MSM/IPTW). Primary method: longitudinal TMLE (TMLE uses targeted updates and machine learning for nuisance parameters). Complementary estimators: sequential g-estimation and MSM/IPTW. Measurement-error variants: (1) naive mediator, (2) latent-variable TMLE (mediator as a latent factor), (3) SIMEX correction. Linkage handling: strict-only deterministic matches, permissive probabilistic matches, and multiple-link imputation (m=20) using per-pair match probabilities. Evaluation metrics: bias (estimate minus truth in MC), root mean squared error (RMSE), 95% coverage (proportion CI contains truth), empirical power, type I error, ATE/NIE/NDE point estimates and SEs, mean absolute error for mediator measure, and calibration of match probabilities (precision/recall). Experimental setup: run ≥1,000 MC replications per scenario for power/MDE estimates; cluster-aware SuperLearner for nuisance fits with clustered cross-validation by school (folds by school), candidate learners: logistic LASSO, random forest, gradient boosting, spline GAM; seed all RNGs and containerize code. Inference: combine multiple-link imputations via Rubin rules when valid; perform nested bootstrap over link draws (B=1,000) to assess SE robustness. Ablation studies: (i) remove linkage uncertainty propagation (compare naive vs imputed), (ii) remove measurement-error correction (naive mediator vs latent/SIMEX), (iii) drop social-capital moderation to compare moderated vs unmoderated NIE. Report strict-only, permissive, and imputed-link results and sensitivity scans for unmeasured mediator–outcome confounding.</w:t>
      </w:r>
    </w:p>
    <w:p>
      <w:r>
        <w:t xml:space="preserve"> </w:t>
      </w:r>
    </w:p>
    <w:p>
      <w:pPr>
        <w:pStyle w:val="Heading2"/>
      </w:pPr>
      <w:r>
        <w:t>Risk Factors And Limitations</w:t>
      </w:r>
    </w:p>
    <w:p>
      <w:r>
        <w:t>Technical failure modes: TMLE or SuperLearner may overfit small subgroups, producing unstable estimates; extreme IPTW weights or poor positivity (lack of overlap) can invalidate MSM estimates. Data biases: survey nonresponse or differential attrition (especially among low-SES or rural students) can bias causal estimates; measurement error in task/self-report digital-literacy can bias mediation estimates. Linkage constraints: poor record linkage quality or legal limits on identifiers can reduce effective sample size and reduce power; propagation of linkage uncertainty may widen CIs. Spillovers: unmeasured network interference (peers affecting outcomes) can violate causal assumptions and bias NIE/NDE. Generalization: results from sampled provinces or districts may not generalize nationally or to other countries. Scalability: Monte Carlo and nested bootstrap with m=20 imputations and B=1,000 bootstraps require substantial compute; pilot-informed sample targets may be infeasible under budget. Identification limits: natural indirect/direct effects rely on untestable cross-world assumptions (no unmeasured mediator–outcome confounding), so conclusions about mediation remain contingent on these assumptions.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