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gendered_language_switchboard</w:t>
      </w:r>
    </w:p>
    <w:p>
      <w:r>
        <w:t xml:space="preserve"> </w:t>
      </w:r>
    </w:p>
    <w:p>
      <w:pPr>
        <w:pStyle w:val="Heading2"/>
      </w:pPr>
      <w:r>
        <w:t>Title</w:t>
      </w:r>
    </w:p>
    <w:p>
      <w:r>
        <w:t>A corpus-based quantitative variationist analysis of lexical, grammatical, and pragmatic gendered language variation in the Switchboard telephone corpus</w:t>
      </w:r>
    </w:p>
    <w:p>
      <w:r>
        <w:t xml:space="preserve"> </w:t>
      </w:r>
    </w:p>
    <w:p>
      <w:pPr>
        <w:pStyle w:val="Heading2"/>
      </w:pPr>
      <w:r>
        <w:t>Short Hypothesis</w:t>
      </w:r>
    </w:p>
    <w:p>
      <w:r>
        <w:t>Speakers' self-identified gender causes systematic differences in the rate of affiliative lexical and grammatical markers (measured per 100 turns) in spontaneous telephone conversations, controlling for call type, speaker age, and dyad.</w:t>
      </w:r>
    </w:p>
    <w:p>
      <w:r>
        <w:t xml:space="preserve"> </w:t>
      </w:r>
    </w:p>
    <w:p>
      <w:pPr>
        <w:pStyle w:val="Heading2"/>
      </w:pPr>
      <w:r>
        <w:t>Related Work</w:t>
      </w:r>
    </w:p>
    <w:p>
      <w:r>
        <w:t>Prior work has examined gendered language in speech using qualitative conversation analysis, small speaker-balanced corpora, and some corpus-quantitative studies. Approaches based on scripted or read speech overestimate lexical/grammatical differences compared with spontaneous talk. Large-corpus computational methods often focus on lexical frequency counts without accounting for diarization/ASR errors, speaker clustering, or pragmatic functions. Statistical studies frequently use simple speaker-level aggregates or fixed-effects regressions that ignore multilevel structure (speaker, dyad, call type) and temporal dependence within calls. Studies of perceived gender often rely on single raters and do not quantify rater bias. De-identification and ethics work seldom provide empirical thresholds linking privacy to preservation of acoustic features. Limitations therefore include (1) weak handling of measurement error from ASR/diarization, (2) underpowered inference for small groups (e.g., non-binary speakers), (3) lack of preregistered codebooks and IAA procedures, and (4) sparse modeling of cross-classified random effects and temporal autocorrelation.</w:t>
      </w:r>
    </w:p>
    <w:p>
      <w:r>
        <w:t xml:space="preserve"> </w:t>
      </w:r>
    </w:p>
    <w:p>
      <w:pPr>
        <w:pStyle w:val="Heading2"/>
      </w:pPr>
      <w:r>
        <w:t>Abstract</w:t>
      </w:r>
    </w:p>
    <w:p>
      <w:r>
        <w:t>This study quantifies how gender correlates with lexical, grammatical, and pragmatic variation in spontaneous American English telephone talk. Using the Switchboard Dialogue Act Corpus, we apply a variationist, corpus-based quantitative pipeline that combines stratified gold-standard annotation, automatic preprocessing (ASR and diarization), and multilevel statistical models. Our approach treats self-identified gender as the primary predictor and perceived gender as a complementary moderator, reports per-feature ASR/diarization error, and propagates measurement uncertainty into inference. Key contributions are (1) reproducible codebook templates and preregistered model specifications, (2) simulation-based power analyses for generalized linear mixed models (GLMMs) with realistic random-effects structures, and (3) empirically validated thresholds for de-identification and IAA with documented adjudication procedures. Expected outcomes are robust, testable estimates of gender-linked rates (e.g., affiliative mitigators per 100 turns), clear statements of uncertainty, and open governance artifacts that balance reproducibility with participant privacy. Results will clarify how gender relates to interactional practices in telephone conversations while providing a defensible, transparent research pipeline.</w:t>
      </w:r>
    </w:p>
    <w:p>
      <w:r>
        <w:t xml:space="preserve"> </w:t>
      </w:r>
    </w:p>
    <w:p>
      <w:pPr>
        <w:pStyle w:val="Heading2"/>
      </w:pPr>
      <w:r>
        <w:t>Experiments</w:t>
      </w:r>
    </w:p>
    <w:p>
      <w:r>
        <w:t>Datasets: Switchboard Dialogue Act Corpus audio + transcripts; stratified 10% gold-standard subset annotated for lexical items, grammatical markers, pragmatic functions, turn boundaries, and perceived gender by three blind raters. Baselines: (A) aggregated speaker-level comparisons (means and t-tests), (B) fixed-effects logistic regressions ignoring clustering, (C) GLMMs without ASR/diarization error propagation. Evaluation metrics: effect sizes as odds ratios or rate ratios with 95% credible intervals, intraclass correlation (ICC) for variance partitioning, model fit LOO (leave-one-out cross-validation), WER (word error rate), DER (diarization error rate), F0 RMSE, and calibration metrics for any classifiers (Brier score, calibration curve). Experimental setup: 1) Preprocessing: run diarization, ASR, forced alignment; produce segment-level features (lexical counts, F0 mean/range, pause durations). 2) Annotation: codebook-guided labeling, IAA targets (report Cohen’s kappa, Krippendorff’s alpha, ICC). 3) Modeling primary test: GLMM for count outcome (affiliative markers) using negative binomial with offset = log(turns/100); formula example: count ~ self_id + perceived_gender + call_type + age + (1 + self_id | speaker) + (1 | dyad) + (1 | call_type). Priors: weakly informative Normal(0,1) on log scale. 4) Power: simulation-based power analysis with simr or Monte Carlo varying ICC in [0.05,0.20], effect sizes OR in [1.2,1.5], cluster sizes per worked examples. 5) Ablations/comparisons: (i) GLMM with vs without ASR/diarization error modeling (measurement-error model or segment-weighting), (ii) models using self-identified gender only vs perceived gender only vs both, (iii) unit-of-analysis comparison: turn-level vs aggregated speaker-call level, (iv) priors sensitivity and interaction-prior shrinkage tests. 6) Diagnostics: posterior predictive checks, Rhat and ESS, leave-one-cluster-out influence, AR(1) tests for within-call autocorrelation. Reproducibility: provide runnable notebooks for each step (preprocessing, annotation QC, GLMM fitting, power sims).</w:t>
      </w:r>
    </w:p>
    <w:p>
      <w:r>
        <w:t xml:space="preserve"> </w:t>
      </w:r>
    </w:p>
    <w:p>
      <w:pPr>
        <w:pStyle w:val="Heading2"/>
      </w:pPr>
      <w:r>
        <w:t>Risk Factors And Limitations</w:t>
      </w:r>
    </w:p>
    <w:p>
      <w:r>
        <w:t>ASR and diarization errors may bias lexical counts and speaker attribution (technical failure mode). Small sample sizes for non-binary or intersecting strata will yield low power and wide uncertainty, limiting claims for those groups. De-identification that sufficiently protects privacy may distort acoustic features (trade-off between privacy and analytic validity). Perceived-gender ratings can embed rater bias and cultural assumptions. Cross-classified Bayesian GLMMs can be computationally heavy and slow to converge when random slopes are many. Temporal dependence within calls may remain unmodeled if segment indices are sparse. Findings will generalize mainly to telephone-style spontaneous American English and may not hold for other genres or languages. Legal or ethical constraints may restrict sharing of raw audio and thus limit external reproducibility of acoustic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