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fuzzy_precautionary_west_taiwan</w:t>
      </w:r>
    </w:p>
    <w:p>
      <w:r>
        <w:t xml:space="preserve"> </w:t>
      </w:r>
    </w:p>
    <w:p>
      <w:pPr>
        <w:pStyle w:val="Heading2"/>
      </w:pPr>
      <w:r>
        <w:t>Title</w:t>
      </w:r>
    </w:p>
    <w:p>
      <w:r>
        <w:t>Fuzzy-distinction-based planning of precautionary areas for offshore wind farms on Taiwan's western coast using AIS and marine GIS</w:t>
      </w:r>
    </w:p>
    <w:p>
      <w:r>
        <w:t xml:space="preserve"> </w:t>
      </w:r>
    </w:p>
    <w:p>
      <w:pPr>
        <w:pStyle w:val="Heading2"/>
      </w:pPr>
      <w:r>
        <w:t>Short Hypothesis</w:t>
      </w:r>
    </w:p>
    <w:p>
      <w:r>
        <w:t>Integrating AIS-derived navigation metrics, marine GIS environmental layers, and fuzzy logic control (a method that maps continuous inputs to graded risk membership) increases predictive accuracy of precautionary-area classifications for offshore wind siting on Taiwan's western coast, yielding AUC ≥ 0.80 and Quadratic Weighted Kappa ≥ 0.60 on held-out spatial validation compared to rule-based buffer baselines.</w:t>
      </w:r>
    </w:p>
    <w:p>
      <w:r>
        <w:t xml:space="preserve"> </w:t>
      </w:r>
    </w:p>
    <w:p>
      <w:pPr>
        <w:pStyle w:val="Heading2"/>
      </w:pPr>
      <w:r>
        <w:t>Related Work</w:t>
      </w:r>
    </w:p>
    <w:p>
      <w:r>
        <w:t>Prior approaches combine AIS vessel data, marine geographic information systems (MGIS), and multi-criteria spatial planning to assess navigation risk and ecological sensitivity. Fuzzy logic and multi-criteria decision analysis (MCDA) have been used to express graded suitability and precaution, while AIS-derived metrics (traffic density, closest-point-of-approach) are standard for navigational risk. Existing methods often rely on deterministic buffers or additive scores, lack principled uncertainty propagation, and use ad-hoc aggregation rules (simple sum, min/max) without stakeholder-calibrated weighting or interaction modeling (e.g., Choquet). Global sensitivity analyses in prior studies are inconsistent in sample sizing, and validation against independent ecological and geotechnical ground-truth is limited. These weaknesses reduce regulatory defensibility and hinder transparent trade-offs between navigation safety, ecology, and engineering feasibility.</w:t>
      </w:r>
    </w:p>
    <w:p>
      <w:r>
        <w:t xml:space="preserve"> </w:t>
      </w:r>
    </w:p>
    <w:p>
      <w:pPr>
        <w:pStyle w:val="Heading2"/>
      </w:pPr>
      <w:r>
        <w:t>Abstract</w:t>
      </w:r>
    </w:p>
    <w:p>
      <w:r>
        <w:t>We address the problem of designing regulator-ready precautionary-area maps for offshore wind farms along Taiwan's western coast that balance navigational safety, ecological sensitivity, and engineering constraints. We propose a method that fuses automatic identification system (AIS) navigation metrics, marine GIS (MGIS) spatial layers (bathymetry, seabed slope, habitats, wind), and fuzzy logic control to produce continuous precautionary-membership maps. The core contribution is an operational pipeline: explicit membership-function priors (sigmoid, trapezoid, Gaussian anchors), ensemble uncertainty propagation (Monte Carlo over input and parameter uncertainty), and an aggregation protocol including ordered weighted averaging and Choquet integrators with stakeholder-elicited weights. Expected outcomes are spatial maps with calibrated uncertainty bands, defensible categorical precaution classes linked to permitting thresholds, and sensitivity diagnostics that support transparent regulatory decisions. The approach aims to improve predictive performance relative to rule-based buffers and provide traceable artifacts for permitting, monitoring triggers, and adaptive management.</w:t>
      </w:r>
    </w:p>
    <w:p>
      <w:r>
        <w:t xml:space="preserve"> </w:t>
      </w:r>
    </w:p>
    <w:p>
      <w:pPr>
        <w:pStyle w:val="Heading2"/>
      </w:pPr>
      <w:r>
        <w:t>Experiments</w:t>
      </w:r>
    </w:p>
    <w:p>
      <w:r>
        <w:t>Datasets: 12 months AIS tracks (traffic density, CPA), MGIS layers: multibeam bathymetry + backscatter, seabed grab/core samples (≥30 initial points), seasonal ecological surveys (4 transects), passive acoustic monitoring (PAM ≥6 months at 3–4 stations), existing regulatory exclusion polygons. Pilot domain: one 10×10 km tile at 50 m grid (≈40k pixels). Baselines: (1) rule-based buffers (500 m habitat, 1 km shore, 500 m shipping exclusion), (2) additive weighted-sum MCDA, (3) best single-layer predictor (e.g., AIS density). Method variants: fuzzy pipeline with aggregators {min, max, algebraic sum, OWA, Choquet}. Evaluation metrics: AUC/ROC (binary approximations), Quadratic Weighted Kappa (ordinal class agreement), Spearman rho (rank correlation of continuous fuzzy scores), Brier score (probabilistic calibration), ensemble-agreement (percent of ensemble members in same class). Experimental setup: spatial cross-validation using 5 non-overlapping spatial folds (to avoid spatial autocorrelation); Monte Carlo ensemble with 200 parameter samples for pilot (input + membership priors); Morris screening (30 trajectories) across k≈20 parameters to identify top influencers; targeted Sobol on top 6 parameters with N=2,000 (total ≈16k runs). Ablations: (A) remove fuzzy aggregation and use defuzzified inputs, (B) replace chosen aggregator with alternative (compare OWA vs Choquet), (C) vary membership anchors by ±25% and ±50% to test sensitivity, (D) vary ground-truth sample sizes (grabs: 15/30/60; PAM durations: 3/6/12 months) to measure effect on metrics. Decision thresholds: declarative Exclusion if membership≥0.70; report reliability diagrams and Brier decomposition for probabilistic calibration.</w:t>
      </w:r>
    </w:p>
    <w:p>
      <w:r>
        <w:t xml:space="preserve"> </w:t>
      </w:r>
    </w:p>
    <w:p>
      <w:pPr>
        <w:pStyle w:val="Heading2"/>
      </w:pPr>
      <w:r>
        <w:t>Risk Factors And Limitations</w:t>
      </w:r>
    </w:p>
    <w:p>
      <w:r>
        <w:t>Technical failure modes: poor geotechnical resolution (≥30 grabs may underresolve seabed heterogeneity), sparse PAM or survey coverage causing low detection power for rare species, and convergence limits for Sobol when parameter dimensionality is high. Data and evaluation biases: spatial autocorrelation can inflate cross-validation scores if folds are not spatially segregated; AIS privacy or licensing restrictions may reduce data completeness. Aggregation limits: choice of aggregator (OWA, Choquet, sum) materially alters categorical outputs and may be contested by stakeholders. Uncertainty semantics: mixing fuzzy membership (possibility-like) and probabilistic ensembles may confuse regulators without explicit calibration mapping. Scalability and compute: full Sobol over k≈20 with large N requires tens of thousands of model runs and substantial CPU/cloud cost; ensemble Monte Carlo with 1,000 members may be costly for higher-resolution grids (10 m). Generalization limits: membership anchors tuned to western Taiwan and local EIAs may not transfer to other regions without re-calibration. Legal/operational limits: hard exclusions near shipping lanes must be reconciled with Taiwan navigation law and port operations; stakeholder acceptance may delay operational adoption.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