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dance_therapy_bibliometric</w:t>
      </w:r>
    </w:p>
    <w:p>
      <w:r>
        <w:t xml:space="preserve"> </w:t>
      </w:r>
    </w:p>
    <w:p>
      <w:pPr>
        <w:pStyle w:val="Heading2"/>
      </w:pPr>
      <w:r>
        <w:t>Title</w:t>
      </w:r>
    </w:p>
    <w:p>
      <w:r>
        <w:t>Longitudinal bibliometric analysis of research themes and collaboration networks in dance therapy for rehabilitation (2006–2025)</w:t>
      </w:r>
    </w:p>
    <w:p>
      <w:r>
        <w:t xml:space="preserve"> </w:t>
      </w:r>
    </w:p>
    <w:p>
      <w:pPr>
        <w:pStyle w:val="Heading2"/>
      </w:pPr>
      <w:r>
        <w:t>Short Hypothesis</w:t>
      </w:r>
    </w:p>
    <w:p>
      <w:r>
        <w:t>Including non-English records and grey literature (preprints, theses, conference papers) causes statistically significant changes in identified thematic clusters and author/institution centrality measures compared to analyses restricted to English peer-reviewed records.</w:t>
      </w:r>
    </w:p>
    <w:p>
      <w:r>
        <w:t xml:space="preserve"> </w:t>
      </w:r>
    </w:p>
    <w:p>
      <w:pPr>
        <w:pStyle w:val="Heading2"/>
      </w:pPr>
      <w:r>
        <w:t>Related Work</w:t>
      </w:r>
    </w:p>
    <w:p>
      <w:r>
        <w:t>Existing bibliometric studies of dance therapy and arts-based rehabilitation typically use single databases, short time windows, or restricted document types and focus on descriptive trends or citation counts. Methods vary: some use co-word or co-citation mapping, others use simple author network visualizations or single topic models. Common limitations are narrow database coverage (omitting Embase, CINAHL, regional indexes), poor handling of non-English records and grey literature, limited or no author/institution disambiguation, lack of reproducible deduplication logs, and few sensitivity analyses of analytic parameters. Prior work rarely integrates clinical outcome frameworks (such as ICF codes) or formal quality appraisals, and most studies do not test how search or preprocessing choices affect downstream clusters and priorities for synthesis.</w:t>
      </w:r>
    </w:p>
    <w:p>
      <w:r>
        <w:t xml:space="preserve"> </w:t>
      </w:r>
    </w:p>
    <w:p>
      <w:pPr>
        <w:pStyle w:val="Heading2"/>
      </w:pPr>
      <w:r>
        <w:t>Abstract</w:t>
      </w:r>
    </w:p>
    <w:p>
      <w:r>
        <w:t>We present a reproducible longitudinal bibliometric study that maps two decades (2006–2025) of research on dance therapy applied to rehabilitation. The problem: existing overviews use restricted sources and lack robust sensitivity checks, risking biased views of themes and collaborations. Approach: assemble a multi-database corpus (Web of Science, Scopus, PubMed, PsycINFO plus selected grey sources), apply reproducible deduplication and author/institution disambiguation, translate non-English records for screening, and run complementary topic models and multilayer network analyses. Main contribution: quantify how inclusion choices (non-English, grey literature) and preprocessing thresholds change thematic clusters, central actors, and candidate evidence clusters mapped to ICF outcome domains; provide a locked, open pipeline and validation on stratified gold samples. Expected outcome: an openly shared, versioned dataset and analytics that reveal robust and contingent research trends, inform prioritized meta-analysis targets, and guide equitable, comprehensive evidence synthesis in dance therapy rehabilitation.</w:t>
      </w:r>
    </w:p>
    <w:p>
      <w:r>
        <w:t xml:space="preserve"> </w:t>
      </w:r>
    </w:p>
    <w:p>
      <w:pPr>
        <w:pStyle w:val="Heading2"/>
      </w:pPr>
      <w:r>
        <w:t>Experiments</w:t>
      </w:r>
    </w:p>
    <w:p>
      <w:r>
        <w:t>Datasets: primary corpus = Web of Science Core Collection, Scopus, PubMed/MEDLINE, PsycINFO for 2006–2025; supplementary sources = Embase, CINAHL, ProQuest Dissertations, medRxiv/bioRxiv/PsyArXiv for grey literature. Use seed set (~150–200 gold records) for recall/precision tests. Baselines: (A) English peer-reviewed records only; (B) full corpus (all languages + grey literature). Preprocessing: two-pass deduplication (exact ID then fuzzy matching), author/institution disambiguation with probabilistic scoring validated on a stratified 500-record gold sample. Topic modeling: LDA grid k=10–25 (alpha 0.1–0.5, beta 0.01–0.1) and BERTopic min_topic_size=5,10,20. Network construction: author, institution, country multilayer networks; edge weight cutoff ≥2; node minima author=3/institution=2/keyword=5. Community detection: Louvain and Infomap. Evaluation metrics: clustering similarity = Adjusted Rand Index (ARI) and Normalized Mutual Information (NMI) (higher = more similar), centrality changes = Spearman rank correlation of node centralities, statistical significance = permutation tests using degree-preserving null model (Maslov-Sneppen) with 1,000 permutations (p-values and FDR q-values), topic prevalence uncertainty = bootstrap CI (n=1,000). Disambiguation metrics: false-merge and false-split rates measured on gold sample. Search performance: recall and precision measured against seed set. Ablations/Comparisons: 1) compare Baseline A vs B to quantify impact of non-English/grey inclusion on ARI/NMI and centrality shifts; 2) vary keyword node minima (3,5,10) and report changes in community assignments; 3) compare LDA vs BERTopic topic stability across bootstraps; 4) test effect of removing grey literature only and non-English only. Replicability outputs: provide Docker container, scripts, merge-log, and processed metadata for each experimental condition. Success criteria: statistically significant differences (permutation p&lt;0.05, FDR q&lt;0.05) in cluster composition or centrality when inclusion choices differ, and disambiguation false-merge &lt;5% false-split &lt;10% on gold sample.</w:t>
      </w:r>
    </w:p>
    <w:p>
      <w:r>
        <w:t xml:space="preserve"> </w:t>
      </w:r>
    </w:p>
    <w:p>
      <w:pPr>
        <w:pStyle w:val="Heading2"/>
      </w:pPr>
      <w:r>
        <w:t>Risk Factors And Limitations</w:t>
      </w:r>
    </w:p>
    <w:p>
      <w:r>
        <w:t>Technical failures: poor matching during deduplication or disambiguation leading to false merges/splits; topic models producing incoherent topics with small corpora. Data and evaluation biases: database indexing bias (regional journals missing), vendor export limits, and translation errors for non-English texts affecting screening and extraction. Scalability and compute: topic modeling and permutation tests may require high CPU/RAM for large corpora; constrained resources could force parameter reductions. Generalization limits: findings reflect indexed literature and included grey sources and may omit local or non-indexed practice reports. Reproducibility constraints: vendor licensing may prevent sharing raw exports; only processed, de-identified metadata can be released. Clinical mapping limits: heterogeneity of outcome measures and inconsistent reporting will limit pooling and clear ICF mapping. No mitigation steps are listed here.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